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36" w:after="468"/>
        <w:rPr>
          <w:rFonts w:ascii="楷体_GB2312" w:eastAsia="楷体_GB2312"/>
          <w:sz w:val="28"/>
        </w:rPr>
      </w:pPr>
      <w:r>
        <w:rPr>
          <w:rFonts w:hint="eastAsia" w:ascii="楷体_GB2312" w:eastAsia="楷体_GB2312"/>
          <w:sz w:val="28"/>
        </w:rPr>
        <w:drawing>
          <wp:inline distT="0" distB="0" distL="0" distR="0">
            <wp:extent cx="1143000" cy="1095375"/>
            <wp:effectExtent l="19050" t="0" r="0" b="0"/>
            <wp:docPr id="15" name="图片 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10"/>
                    <pic:cNvPicPr>
                      <a:picLocks noChangeAspect="1" noChangeArrowheads="1"/>
                    </pic:cNvPicPr>
                  </pic:nvPicPr>
                  <pic:blipFill>
                    <a:blip r:embed="rId5"/>
                    <a:srcRect/>
                    <a:stretch>
                      <a:fillRect/>
                    </a:stretch>
                  </pic:blipFill>
                  <pic:spPr>
                    <a:xfrm>
                      <a:off x="0" y="0"/>
                      <a:ext cx="1143000" cy="1095375"/>
                    </a:xfrm>
                    <a:prstGeom prst="rect">
                      <a:avLst/>
                    </a:prstGeom>
                    <a:noFill/>
                    <a:ln w="9525">
                      <a:noFill/>
                      <a:miter lim="800000"/>
                      <a:headEnd/>
                      <a:tailEnd/>
                    </a:ln>
                  </pic:spPr>
                </pic:pic>
              </a:graphicData>
            </a:graphic>
          </wp:inline>
        </w:drawing>
      </w:r>
      <w:r>
        <w:rPr>
          <w:rFonts w:hint="eastAsia" w:ascii="楷体_GB2312" w:eastAsia="楷体_GB2312"/>
          <w:sz w:val="28"/>
        </w:rPr>
        <w:drawing>
          <wp:inline distT="0" distB="0" distL="0" distR="0">
            <wp:extent cx="3914775" cy="1095375"/>
            <wp:effectExtent l="19050" t="0" r="9525" b="0"/>
            <wp:docPr id="16" name="图片 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20"/>
                    <pic:cNvPicPr>
                      <a:picLocks noChangeAspect="1" noChangeArrowheads="1"/>
                    </pic:cNvPicPr>
                  </pic:nvPicPr>
                  <pic:blipFill>
                    <a:blip r:embed="rId6"/>
                    <a:srcRect/>
                    <a:stretch>
                      <a:fillRect/>
                    </a:stretch>
                  </pic:blipFill>
                  <pic:spPr>
                    <a:xfrm>
                      <a:off x="0" y="0"/>
                      <a:ext cx="3914775" cy="1095375"/>
                    </a:xfrm>
                    <a:prstGeom prst="rect">
                      <a:avLst/>
                    </a:prstGeom>
                    <a:noFill/>
                    <a:ln w="9525">
                      <a:noFill/>
                      <a:miter lim="800000"/>
                      <a:headEnd/>
                      <a:tailEnd/>
                    </a:ln>
                  </pic:spPr>
                </pic:pic>
              </a:graphicData>
            </a:graphic>
          </wp:inline>
        </w:drawing>
      </w:r>
    </w:p>
    <w:p>
      <w:pPr>
        <w:spacing w:before="936" w:after="468" w:line="560" w:lineRule="exact"/>
        <w:ind w:left="-105" w:leftChars="-50" w:firstLine="111" w:firstLineChars="12"/>
        <w:jc w:val="center"/>
        <w:rPr>
          <w:rFonts w:ascii="黑体" w:hAnsi="新宋体" w:eastAsia="黑体"/>
          <w:b/>
          <w:color w:val="003300"/>
          <w:sz w:val="92"/>
          <w:szCs w:val="92"/>
        </w:rPr>
      </w:pPr>
      <w:r>
        <w:rPr>
          <w:rFonts w:hint="eastAsia" w:ascii="黑体" w:hAnsi="新宋体" w:eastAsia="黑体"/>
          <w:b/>
          <w:color w:val="003300"/>
          <w:sz w:val="92"/>
          <w:szCs w:val="92"/>
        </w:rPr>
        <w:t>工 作 通 讯</w:t>
      </w:r>
    </w:p>
    <w:p>
      <w:pPr>
        <w:spacing w:before="468" w:line="1080" w:lineRule="exact"/>
        <w:jc w:val="center"/>
        <w:rPr>
          <w:rFonts w:ascii="新宋体" w:hAnsi="新宋体" w:eastAsia="新宋体" w:cs="新宋体"/>
          <w:b/>
          <w:color w:val="FF0000"/>
          <w:w w:val="90"/>
          <w:sz w:val="100"/>
        </w:rPr>
      </w:pPr>
      <w:r>
        <w:rPr>
          <w:rFonts w:hint="eastAsia" w:ascii="新宋体" w:hAnsi="新宋体" w:eastAsia="新宋体" w:cs="新宋体"/>
          <w:b/>
          <w:color w:val="000000"/>
          <w:sz w:val="32"/>
          <w:szCs w:val="32"/>
        </w:rPr>
        <w:t xml:space="preserve"> 第</w:t>
      </w:r>
      <w:r>
        <w:rPr>
          <w:rFonts w:hint="eastAsia" w:ascii="新宋体" w:hAnsi="新宋体" w:eastAsia="新宋体" w:cs="新宋体"/>
          <w:b/>
          <w:color w:val="000000"/>
          <w:sz w:val="32"/>
          <w:szCs w:val="32"/>
          <w:lang w:val="en-US" w:eastAsia="zh-CN"/>
        </w:rPr>
        <w:t>2</w:t>
      </w:r>
      <w:r>
        <w:rPr>
          <w:rFonts w:hint="eastAsia" w:ascii="新宋体" w:hAnsi="新宋体" w:eastAsia="新宋体" w:cs="新宋体"/>
          <w:b/>
          <w:color w:val="000000"/>
          <w:sz w:val="32"/>
          <w:szCs w:val="32"/>
        </w:rPr>
        <w:t>期（总第</w:t>
      </w:r>
      <w:r>
        <w:rPr>
          <w:rFonts w:hint="eastAsia" w:ascii="新宋体" w:hAnsi="新宋体" w:eastAsia="新宋体" w:cs="新宋体"/>
          <w:b/>
          <w:color w:val="000000"/>
          <w:sz w:val="32"/>
          <w:szCs w:val="32"/>
          <w:lang w:val="en-US" w:eastAsia="zh-CN"/>
        </w:rPr>
        <w:t>80</w:t>
      </w:r>
      <w:r>
        <w:rPr>
          <w:rFonts w:hint="eastAsia" w:ascii="新宋体" w:hAnsi="新宋体" w:eastAsia="新宋体" w:cs="新宋体"/>
          <w:b/>
          <w:color w:val="000000"/>
          <w:sz w:val="32"/>
          <w:szCs w:val="32"/>
        </w:rPr>
        <w:t>期）</w:t>
      </w:r>
    </w:p>
    <w:p>
      <w:pPr>
        <w:pBdr>
          <w:bottom w:val="single" w:color="auto" w:sz="18" w:space="6"/>
        </w:pBdr>
        <w:spacing w:before="312" w:line="560" w:lineRule="exact"/>
        <w:jc w:val="left"/>
        <w:rPr>
          <w:rFonts w:ascii="仿宋_GB2312" w:hAnsi="楷体" w:eastAsia="仿宋_GB2312"/>
          <w:b/>
          <w:sz w:val="32"/>
          <w:szCs w:val="32"/>
        </w:rPr>
      </w:pPr>
      <w:r>
        <w:rPr>
          <w:rFonts w:hint="eastAsia" w:ascii="新宋体" w:hAnsi="新宋体" w:eastAsia="新宋体" w:cs="新宋体"/>
          <w:b/>
          <w:sz w:val="30"/>
          <w:szCs w:val="30"/>
        </w:rPr>
        <w:t xml:space="preserve">   浙江省茶叶产业协会秘书处编</w:t>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20</w:t>
      </w:r>
      <w:r>
        <w:rPr>
          <w:rFonts w:hint="eastAsia" w:ascii="新宋体" w:hAnsi="新宋体" w:eastAsia="新宋体" w:cs="新宋体"/>
          <w:b/>
          <w:sz w:val="30"/>
          <w:szCs w:val="30"/>
          <w:lang w:val="en-US" w:eastAsia="zh-CN"/>
        </w:rPr>
        <w:t>21</w:t>
      </w:r>
      <w:r>
        <w:rPr>
          <w:rFonts w:hint="eastAsia" w:ascii="新宋体" w:hAnsi="新宋体" w:eastAsia="新宋体" w:cs="新宋体"/>
          <w:b/>
          <w:sz w:val="30"/>
          <w:szCs w:val="30"/>
        </w:rPr>
        <w:t>年</w:t>
      </w:r>
      <w:r>
        <w:rPr>
          <w:rFonts w:hint="eastAsia" w:ascii="新宋体" w:hAnsi="新宋体" w:eastAsia="新宋体" w:cs="新宋体"/>
          <w:b/>
          <w:sz w:val="30"/>
          <w:szCs w:val="30"/>
          <w:lang w:val="en-US" w:eastAsia="zh-CN"/>
        </w:rPr>
        <w:t>3</w:t>
      </w:r>
      <w:r>
        <w:rPr>
          <w:rFonts w:hint="eastAsia" w:ascii="新宋体" w:hAnsi="新宋体" w:eastAsia="新宋体" w:cs="新宋体"/>
          <w:b/>
          <w:sz w:val="30"/>
          <w:szCs w:val="30"/>
        </w:rPr>
        <w:t>月</w:t>
      </w:r>
      <w:r>
        <w:rPr>
          <w:rFonts w:hint="eastAsia" w:ascii="新宋体" w:hAnsi="新宋体" w:eastAsia="新宋体" w:cs="新宋体"/>
          <w:b/>
          <w:sz w:val="30"/>
          <w:szCs w:val="30"/>
          <w:lang w:val="en-US" w:eastAsia="zh-CN"/>
        </w:rPr>
        <w:t>8</w:t>
      </w:r>
      <w:r>
        <w:rPr>
          <w:rFonts w:hint="eastAsia" w:ascii="新宋体" w:hAnsi="新宋体" w:eastAsia="新宋体" w:cs="新宋体"/>
          <w:b/>
          <w:sz w:val="30"/>
          <w:szCs w:val="30"/>
        </w:rPr>
        <w:t>日</w:t>
      </w:r>
    </w:p>
    <w:p>
      <w:pPr>
        <w:spacing w:line="460" w:lineRule="exact"/>
        <w:jc w:val="center"/>
        <w:rPr>
          <w:rFonts w:ascii="仿宋" w:hAnsi="仿宋_GB2312" w:eastAsia="仿宋" w:cs="仿宋"/>
          <w:b/>
          <w:bCs/>
          <w:sz w:val="36"/>
          <w:szCs w:val="36"/>
        </w:rPr>
      </w:pPr>
      <w:r>
        <w:rPr>
          <w:rFonts w:hint="eastAsia" w:ascii="仿宋" w:hAnsi="仿宋_GB2312" w:eastAsia="仿宋" w:cs="仿宋"/>
          <w:b/>
          <w:bCs/>
          <w:sz w:val="36"/>
          <w:szCs w:val="36"/>
        </w:rPr>
        <w:t>目  录</w:t>
      </w:r>
    </w:p>
    <w:p>
      <w:pPr>
        <w:spacing w:line="360" w:lineRule="auto"/>
        <w:ind w:right="239" w:rightChars="114"/>
        <w:rPr>
          <w:rFonts w:ascii="仿宋" w:hAnsi="仿宋_GB2312" w:eastAsia="仿宋" w:cs="仿宋"/>
          <w:sz w:val="32"/>
          <w:szCs w:val="32"/>
        </w:rPr>
      </w:pPr>
      <w:r>
        <w:rPr>
          <w:rFonts w:hint="eastAsia" w:ascii="仿宋" w:hAnsi="仿宋_GB2312" w:eastAsia="仿宋" w:cs="仿宋"/>
          <w:sz w:val="32"/>
          <w:szCs w:val="32"/>
        </w:rPr>
        <w:t>◆</w:t>
      </w:r>
      <w:r>
        <w:rPr>
          <w:rFonts w:hint="eastAsia" w:ascii="仿宋" w:hAnsi="仿宋_GB2312" w:eastAsia="仿宋" w:cs="仿宋"/>
          <w:b/>
          <w:sz w:val="32"/>
          <w:szCs w:val="32"/>
        </w:rPr>
        <w:t xml:space="preserve"> 产业报告</w:t>
      </w:r>
    </w:p>
    <w:p>
      <w:pPr>
        <w:spacing w:line="360" w:lineRule="auto"/>
        <w:ind w:right="239" w:rightChars="114" w:firstLine="480" w:firstLineChars="150"/>
        <w:jc w:val="left"/>
        <w:rPr>
          <w:rFonts w:ascii="仿宋" w:hAnsi="仿宋_GB2312" w:eastAsia="仿宋" w:cs="仿宋"/>
          <w:sz w:val="32"/>
          <w:szCs w:val="32"/>
        </w:rPr>
      </w:pPr>
      <w:r>
        <w:rPr>
          <w:rFonts w:ascii="仿宋" w:hAnsi="仿宋_GB2312" w:eastAsia="仿宋" w:cs="仿宋"/>
          <w:sz w:val="32"/>
          <w:szCs w:val="32"/>
        </w:rPr>
        <w:t>2020</w:t>
      </w:r>
      <w:r>
        <w:rPr>
          <w:rFonts w:hint="eastAsia" w:ascii="仿宋" w:hAnsi="仿宋_GB2312" w:eastAsia="仿宋" w:cs="仿宋"/>
          <w:sz w:val="32"/>
          <w:szCs w:val="32"/>
        </w:rPr>
        <w:t>年浙江茶产业发展报</w:t>
      </w:r>
      <w:r>
        <w:rPr>
          <w:rFonts w:hint="eastAsia" w:ascii="仿宋" w:hAnsi="仿宋_GB2312" w:eastAsia="仿宋" w:cs="仿宋"/>
          <w:sz w:val="32"/>
          <w:szCs w:val="32"/>
          <w:lang w:eastAsia="zh-CN"/>
        </w:rPr>
        <w:t>告</w:t>
      </w:r>
      <w:r>
        <w:rPr>
          <w:rFonts w:ascii="仿宋" w:hAnsi="仿宋_GB2312" w:eastAsia="仿宋" w:cs="仿宋"/>
          <w:sz w:val="32"/>
          <w:szCs w:val="32"/>
        </w:rPr>
        <w:t>……………………………</w:t>
      </w:r>
      <w:r>
        <w:rPr>
          <w:rFonts w:hint="eastAsia" w:ascii="仿宋" w:hAnsi="仿宋_GB2312" w:eastAsia="仿宋" w:cs="仿宋"/>
          <w:sz w:val="32"/>
          <w:szCs w:val="32"/>
        </w:rPr>
        <w:t>2</w:t>
      </w:r>
    </w:p>
    <w:p>
      <w:pPr>
        <w:pStyle w:val="17"/>
        <w:spacing w:line="360" w:lineRule="auto"/>
        <w:jc w:val="center"/>
        <w:rPr>
          <w:rFonts w:ascii="仿宋" w:hAnsi="仿宋_GB2312" w:eastAsia="仿宋" w:cs="仿宋"/>
          <w:sz w:val="32"/>
          <w:szCs w:val="32"/>
        </w:rPr>
      </w:pPr>
    </w:p>
    <w:p>
      <w:pPr>
        <w:pStyle w:val="17"/>
        <w:spacing w:line="360" w:lineRule="auto"/>
        <w:jc w:val="center"/>
        <w:rPr>
          <w:rFonts w:ascii="仿宋" w:hAnsi="仿宋_GB2312" w:eastAsia="仿宋" w:cs="仿宋"/>
          <w:sz w:val="32"/>
          <w:szCs w:val="32"/>
        </w:rPr>
      </w:pPr>
    </w:p>
    <w:p>
      <w:pPr>
        <w:pStyle w:val="17"/>
        <w:spacing w:line="360" w:lineRule="auto"/>
        <w:jc w:val="center"/>
        <w:rPr>
          <w:rFonts w:ascii="仿宋" w:hAnsi="仿宋_GB2312" w:eastAsia="仿宋" w:cs="仿宋"/>
          <w:sz w:val="32"/>
          <w:szCs w:val="32"/>
        </w:rPr>
      </w:pPr>
      <w:bookmarkStart w:id="0" w:name="_GoBack"/>
      <w:bookmarkEnd w:id="0"/>
    </w:p>
    <w:p>
      <w:pPr>
        <w:pStyle w:val="17"/>
        <w:spacing w:line="360" w:lineRule="auto"/>
        <w:jc w:val="center"/>
        <w:rPr>
          <w:rFonts w:ascii="仿宋" w:hAnsi="仿宋_GB2312" w:eastAsia="仿宋" w:cs="仿宋"/>
          <w:sz w:val="32"/>
          <w:szCs w:val="32"/>
        </w:rPr>
      </w:pPr>
    </w:p>
    <w:p>
      <w:pPr>
        <w:pStyle w:val="17"/>
        <w:spacing w:line="360" w:lineRule="auto"/>
        <w:jc w:val="center"/>
        <w:rPr>
          <w:rFonts w:ascii="仿宋" w:hAnsi="仿宋_GB2312" w:eastAsia="仿宋" w:cs="仿宋"/>
          <w:sz w:val="32"/>
          <w:szCs w:val="32"/>
        </w:rPr>
      </w:pPr>
    </w:p>
    <w:p>
      <w:pPr>
        <w:pStyle w:val="17"/>
        <w:spacing w:line="360" w:lineRule="auto"/>
        <w:jc w:val="center"/>
        <w:rPr>
          <w:rFonts w:ascii="仿宋" w:hAnsi="仿宋_GB2312" w:eastAsia="仿宋" w:cs="仿宋"/>
          <w:sz w:val="32"/>
          <w:szCs w:val="32"/>
        </w:rPr>
      </w:pPr>
    </w:p>
    <w:p>
      <w:pPr>
        <w:pStyle w:val="17"/>
        <w:spacing w:line="360" w:lineRule="auto"/>
        <w:jc w:val="center"/>
        <w:rPr>
          <w:rFonts w:ascii="仿宋" w:hAnsi="仿宋_GB2312" w:eastAsia="仿宋" w:cs="仿宋"/>
          <w:sz w:val="32"/>
          <w:szCs w:val="32"/>
        </w:rPr>
      </w:pPr>
    </w:p>
    <w:p>
      <w:pPr>
        <w:pStyle w:val="17"/>
        <w:spacing w:line="360" w:lineRule="auto"/>
        <w:jc w:val="center"/>
        <w:rPr>
          <w:rFonts w:ascii="仿宋" w:hAnsi="仿宋_GB2312" w:eastAsia="仿宋" w:cs="仿宋"/>
          <w:sz w:val="32"/>
          <w:szCs w:val="32"/>
        </w:rPr>
      </w:pPr>
    </w:p>
    <w:p>
      <w:pPr>
        <w:jc w:val="center"/>
        <w:rPr>
          <w:rFonts w:ascii="仿宋" w:hAnsi="仿宋" w:eastAsia="仿宋"/>
          <w:b/>
          <w:sz w:val="44"/>
          <w:szCs w:val="44"/>
        </w:rPr>
      </w:pPr>
      <w:r>
        <w:rPr>
          <w:rFonts w:ascii="仿宋" w:hAnsi="仿宋" w:eastAsia="仿宋"/>
          <w:b/>
          <w:sz w:val="44"/>
          <w:szCs w:val="44"/>
        </w:rPr>
        <w:t>2020年浙江茶产业发展报告</w:t>
      </w:r>
    </w:p>
    <w:p>
      <w:pPr>
        <w:jc w:val="center"/>
        <w:rPr>
          <w:rFonts w:ascii="仿宋" w:hAnsi="仿宋" w:eastAsia="仿宋"/>
          <w:sz w:val="32"/>
          <w:szCs w:val="32"/>
        </w:rPr>
      </w:pPr>
      <w:r>
        <w:rPr>
          <w:rFonts w:ascii="仿宋" w:hAnsi="仿宋" w:eastAsia="仿宋"/>
          <w:sz w:val="32"/>
          <w:szCs w:val="32"/>
        </w:rPr>
        <w:t>浙江省茶叶产业协会</w:t>
      </w:r>
    </w:p>
    <w:p>
      <w:pPr>
        <w:ind w:firstLine="643" w:firstLineChars="200"/>
        <w:rPr>
          <w:rFonts w:ascii="仿宋" w:hAnsi="仿宋" w:eastAsia="仿宋"/>
          <w:b/>
          <w:sz w:val="32"/>
          <w:szCs w:val="32"/>
        </w:rPr>
      </w:pPr>
      <w:r>
        <w:rPr>
          <w:rFonts w:ascii="仿宋" w:hAnsi="仿宋" w:eastAsia="仿宋"/>
          <w:b/>
          <w:kern w:val="0"/>
          <w:sz w:val="32"/>
          <w:szCs w:val="32"/>
        </w:rPr>
        <w:t xml:space="preserve">一、2020年产业发展回顾 </w:t>
      </w:r>
    </w:p>
    <w:p>
      <w:pPr>
        <w:ind w:firstLine="640" w:firstLineChars="200"/>
        <w:rPr>
          <w:rFonts w:ascii="仿宋" w:hAnsi="仿宋" w:eastAsia="仿宋"/>
          <w:sz w:val="32"/>
          <w:szCs w:val="32"/>
        </w:rPr>
      </w:pPr>
      <w:r>
        <w:rPr>
          <w:rFonts w:ascii="仿宋" w:hAnsi="仿宋" w:eastAsia="仿宋"/>
          <w:sz w:val="32"/>
          <w:szCs w:val="32"/>
        </w:rPr>
        <w:t>2020年春季新冠肺炎疫情来势凶猛，给茶产业带来诸多不利影响。全省茶叶行业同心协力，精准施策，最终取得春茶逆势上扬，全年增产增值，出口未见大幅下滑的良好局面。据茶叶业务主管部门统计，全省茶园总面积307.5万亩，同比增长0.49%；茶叶产量19.1万吨，同比增长0.53%；农业产值238.6亿元，同比增长5.81%。其中名优茶产量10.2万吨，同比增长6.25%；农业产值213.4亿元，同比增长8.16%。</w:t>
      </w:r>
    </w:p>
    <w:p>
      <w:pPr>
        <w:ind w:firstLine="640" w:firstLineChars="200"/>
        <w:rPr>
          <w:rFonts w:ascii="仿宋" w:hAnsi="仿宋" w:eastAsia="仿宋"/>
          <w:sz w:val="32"/>
          <w:szCs w:val="32"/>
        </w:rPr>
      </w:pPr>
      <w:r>
        <w:rPr>
          <w:rFonts w:ascii="仿宋" w:hAnsi="仿宋" w:eastAsia="仿宋"/>
          <w:sz w:val="32"/>
          <w:szCs w:val="32"/>
        </w:rPr>
        <w:t>（一）</w:t>
      </w:r>
      <w:r>
        <w:rPr>
          <w:rFonts w:ascii="仿宋" w:hAnsi="仿宋" w:eastAsia="仿宋"/>
          <w:kern w:val="0"/>
          <w:sz w:val="32"/>
          <w:szCs w:val="32"/>
        </w:rPr>
        <w:t>茶叶生产平稳有序</w:t>
      </w:r>
    </w:p>
    <w:p>
      <w:pPr>
        <w:ind w:firstLine="640" w:firstLineChars="200"/>
        <w:rPr>
          <w:rFonts w:ascii="仿宋" w:hAnsi="仿宋" w:eastAsia="仿宋"/>
          <w:sz w:val="32"/>
          <w:szCs w:val="32"/>
        </w:rPr>
      </w:pPr>
      <w:r>
        <w:rPr>
          <w:rFonts w:ascii="仿宋" w:hAnsi="仿宋" w:eastAsia="仿宋"/>
          <w:sz w:val="32"/>
          <w:szCs w:val="32"/>
        </w:rPr>
        <w:t>2020年春季气候多变，</w:t>
      </w:r>
      <w:r>
        <w:rPr>
          <w:rFonts w:ascii="仿宋" w:hAnsi="仿宋" w:eastAsia="仿宋"/>
          <w:kern w:val="0"/>
          <w:sz w:val="32"/>
          <w:szCs w:val="32"/>
        </w:rPr>
        <w:t>1月份以来气温平均偏高2.8</w:t>
      </w:r>
      <w:r>
        <w:rPr>
          <w:rFonts w:hint="eastAsia" w:ascii="仿宋" w:hAnsi="仿宋" w:eastAsia="仿宋" w:cs="宋体"/>
          <w:kern w:val="0"/>
          <w:sz w:val="32"/>
          <w:szCs w:val="32"/>
          <w:lang w:val="zh-CN"/>
        </w:rPr>
        <w:t>℃</w:t>
      </w:r>
      <w:r>
        <w:rPr>
          <w:rFonts w:ascii="仿宋" w:hAnsi="仿宋" w:eastAsia="仿宋"/>
          <w:kern w:val="0"/>
          <w:sz w:val="32"/>
          <w:szCs w:val="32"/>
          <w:lang w:val="zh-CN"/>
        </w:rPr>
        <w:t>，</w:t>
      </w:r>
      <w:r>
        <w:rPr>
          <w:rFonts w:ascii="仿宋" w:hAnsi="仿宋" w:eastAsia="仿宋"/>
          <w:sz w:val="32"/>
          <w:szCs w:val="32"/>
        </w:rPr>
        <w:t>2月初特早熟品种微量开采，比往年提前约1周；</w:t>
      </w:r>
      <w:r>
        <w:rPr>
          <w:rFonts w:ascii="仿宋" w:hAnsi="仿宋" w:eastAsia="仿宋"/>
          <w:spacing w:val="7"/>
          <w:kern w:val="0"/>
          <w:sz w:val="32"/>
          <w:szCs w:val="32"/>
        </w:rPr>
        <w:t>2月15-16日受寒潮天气影响，全省气温骤降，日平均气温过程降温幅度 9</w:t>
      </w:r>
      <w:r>
        <w:rPr>
          <w:rFonts w:hint="eastAsia" w:ascii="仿宋" w:hAnsi="仿宋" w:eastAsia="仿宋" w:cs="宋体"/>
          <w:spacing w:val="7"/>
          <w:kern w:val="0"/>
          <w:sz w:val="32"/>
          <w:szCs w:val="32"/>
        </w:rPr>
        <w:t>℃</w:t>
      </w:r>
      <w:r>
        <w:rPr>
          <w:rFonts w:ascii="仿宋" w:hAnsi="仿宋" w:eastAsia="仿宋"/>
          <w:spacing w:val="7"/>
          <w:kern w:val="0"/>
          <w:sz w:val="32"/>
          <w:szCs w:val="32"/>
        </w:rPr>
        <w:t>～12</w:t>
      </w:r>
      <w:r>
        <w:rPr>
          <w:rFonts w:hint="eastAsia" w:ascii="仿宋" w:hAnsi="仿宋" w:eastAsia="仿宋" w:cs="宋体"/>
          <w:spacing w:val="7"/>
          <w:kern w:val="0"/>
          <w:sz w:val="32"/>
          <w:szCs w:val="32"/>
        </w:rPr>
        <w:t>℃</w:t>
      </w:r>
      <w:r>
        <w:rPr>
          <w:rFonts w:ascii="仿宋" w:hAnsi="仿宋" w:eastAsia="仿宋"/>
          <w:spacing w:val="7"/>
          <w:kern w:val="0"/>
          <w:sz w:val="32"/>
          <w:szCs w:val="32"/>
        </w:rPr>
        <w:t>；15日夜里浙北山区和平原部分地区出现雨夹雪或雪，浙中南地区后半夜到16日上午局部出现雨夹雪或小雪，16日早上天目山及四明山区局部出现1cm～5cm积雪。受强冷空气和夜间辐射降温共同影响，17日-19日气温较低，期间极端最低气温大部地区在0</w:t>
      </w:r>
      <w:r>
        <w:rPr>
          <w:rFonts w:hint="eastAsia" w:ascii="仿宋" w:hAnsi="仿宋" w:eastAsia="仿宋" w:cs="宋体"/>
          <w:spacing w:val="7"/>
          <w:kern w:val="0"/>
          <w:sz w:val="32"/>
          <w:szCs w:val="32"/>
        </w:rPr>
        <w:t>℃</w:t>
      </w:r>
      <w:r>
        <w:rPr>
          <w:rFonts w:ascii="仿宋" w:hAnsi="仿宋" w:eastAsia="仿宋"/>
          <w:spacing w:val="7"/>
          <w:kern w:val="0"/>
          <w:sz w:val="32"/>
          <w:szCs w:val="32"/>
        </w:rPr>
        <w:t>以下，</w:t>
      </w:r>
      <w:r>
        <w:rPr>
          <w:rFonts w:ascii="仿宋" w:hAnsi="仿宋" w:eastAsia="仿宋"/>
          <w:spacing w:val="7"/>
          <w:sz w:val="32"/>
          <w:szCs w:val="32"/>
        </w:rPr>
        <w:t>使浙江茶区部分茶园出现霜冻，对正值采摘期的特早生茶树影响比较明显，其中丽水地区低温持续时间长范围广，嘉茗一号、平阳特早茶等特早生种茶园不同程度遭受霜冻。</w:t>
      </w:r>
      <w:r>
        <w:rPr>
          <w:rFonts w:ascii="仿宋" w:hAnsi="仿宋" w:eastAsia="仿宋"/>
          <w:sz w:val="32"/>
          <w:szCs w:val="32"/>
        </w:rPr>
        <w:t>2月底至3月初雨水多，影响到早春茶的色泽、香气。三月和四月上旬全省发生多次局地霜冻、降雪和冰雹等极端天气，对已开采和即将开采的茶园造成较大影响，局地受灾损失严重。四月上旬以来气温偏低，茶芽生长缓慢，没有出现采摘洪峰期集中现象，利于茶叶内含物质积累，采摘期延长，增加了青叶产量。夏秋季前期有1个月的“超长梅雨季”，雨量破历史纪录，使夏茶色泽香气受到一定影响，后期持续高温，但多有零星降雨缓解，对生产影响较轻。高温高湿致使病虫害略多于往年，由于及时发现、科学防治，未形成大规模虫情。2月上中旬青叶开市价格普遍降低20%左右；2月底产地交易市场相继开市，价格逐渐止跌；4月青叶大量上市，收青意愿增强，价格略有上涨。据茶产业“杭州指数”发布，浙江茶青价格指数为101%，同比略增。夏秋季茶青价格较为平稳。</w:t>
      </w:r>
    </w:p>
    <w:p>
      <w:pPr>
        <w:ind w:firstLine="640" w:firstLineChars="200"/>
        <w:rPr>
          <w:rFonts w:ascii="仿宋" w:hAnsi="仿宋" w:eastAsia="仿宋"/>
          <w:sz w:val="32"/>
          <w:szCs w:val="32"/>
        </w:rPr>
      </w:pPr>
      <w:r>
        <w:rPr>
          <w:rFonts w:ascii="仿宋" w:hAnsi="仿宋" w:eastAsia="仿宋"/>
          <w:kern w:val="0"/>
          <w:sz w:val="32"/>
          <w:szCs w:val="32"/>
        </w:rPr>
        <w:t>（二）国内市场总体稳健</w:t>
      </w:r>
    </w:p>
    <w:p>
      <w:pPr>
        <w:ind w:firstLine="640" w:firstLineChars="200"/>
        <w:rPr>
          <w:rFonts w:ascii="仿宋" w:hAnsi="仿宋" w:eastAsia="仿宋"/>
          <w:sz w:val="32"/>
          <w:szCs w:val="32"/>
        </w:rPr>
      </w:pPr>
      <w:r>
        <w:rPr>
          <w:rFonts w:ascii="仿宋" w:hAnsi="仿宋" w:eastAsia="仿宋"/>
          <w:sz w:val="32"/>
          <w:szCs w:val="32"/>
        </w:rPr>
        <w:t>2020年，</w:t>
      </w:r>
      <w:r>
        <w:rPr>
          <w:rFonts w:hint="eastAsia" w:ascii="仿宋" w:hAnsi="仿宋" w:eastAsia="仿宋"/>
          <w:sz w:val="32"/>
          <w:szCs w:val="32"/>
        </w:rPr>
        <w:t>全国茶叶产量</w:t>
      </w:r>
      <w:r>
        <w:rPr>
          <w:rFonts w:ascii="仿宋" w:hAnsi="仿宋" w:eastAsia="仿宋"/>
          <w:sz w:val="32"/>
          <w:szCs w:val="32"/>
        </w:rPr>
        <w:t>297</w:t>
      </w:r>
      <w:r>
        <w:rPr>
          <w:rFonts w:hint="eastAsia" w:ascii="仿宋" w:hAnsi="仿宋" w:eastAsia="仿宋"/>
          <w:sz w:val="32"/>
          <w:szCs w:val="32"/>
        </w:rPr>
        <w:t>万吨，同比增长</w:t>
      </w:r>
      <w:r>
        <w:rPr>
          <w:rFonts w:ascii="仿宋" w:hAnsi="仿宋" w:eastAsia="仿宋"/>
          <w:sz w:val="32"/>
          <w:szCs w:val="32"/>
        </w:rPr>
        <w:t>7.1%</w:t>
      </w:r>
      <w:r>
        <w:rPr>
          <w:rFonts w:hint="eastAsia" w:ascii="仿宋" w:hAnsi="仿宋" w:eastAsia="仿宋"/>
          <w:sz w:val="32"/>
          <w:szCs w:val="32"/>
        </w:rPr>
        <w:t>。</w:t>
      </w:r>
      <w:r>
        <w:rPr>
          <w:rFonts w:ascii="仿宋" w:hAnsi="仿宋" w:eastAsia="仿宋"/>
          <w:sz w:val="32"/>
          <w:szCs w:val="32"/>
        </w:rPr>
        <w:t>国内茶叶销售量逾210万吨，内销市场依然是拉动茶产业发展的主要力量，但产销比下滑，显示动力在弱化。省内产地批发市场在2月上旬至3月上旬相继开市复市，有力地支持了春茶生产，为茶农茶企交易提供了便利。2月24日，松阳浙南茶叶市场复市；2月26日，新昌中国茶市、开化龙顶名茶市场复市；2月29日，淳安千岛湖茶叶市场复市；3月3日，嵊州茶叶城复市；3月4日，杭州转塘茶叶市场复市；3月8日，磐安浙中茶叶市场复市。</w:t>
      </w:r>
    </w:p>
    <w:p>
      <w:pPr>
        <w:ind w:firstLine="640" w:firstLineChars="200"/>
        <w:rPr>
          <w:rFonts w:ascii="仿宋" w:hAnsi="仿宋" w:eastAsia="仿宋"/>
          <w:sz w:val="32"/>
          <w:szCs w:val="32"/>
        </w:rPr>
      </w:pPr>
      <w:r>
        <w:rPr>
          <w:rFonts w:ascii="仿宋" w:hAnsi="仿宋" w:eastAsia="仿宋"/>
          <w:sz w:val="32"/>
          <w:szCs w:val="32"/>
        </w:rPr>
        <w:t>全年浙南茶叶市场交易总量8.09万吨，同比增长1.13%；交易总额62.09亿元，同比增长0.53%；</w:t>
      </w:r>
      <w:r>
        <w:rPr>
          <w:rFonts w:ascii="仿宋" w:hAnsi="仿宋" w:eastAsia="仿宋"/>
          <w:spacing w:val="17"/>
          <w:sz w:val="32"/>
          <w:szCs w:val="32"/>
        </w:rPr>
        <w:t>其中市场店铺交易量8.01万吨，同比增加167吨；网上商城入驻企业920家，注册会员14998个，实现交易10.57万笔，交易量733吨，交易额9216万元。</w:t>
      </w:r>
      <w:r>
        <w:rPr>
          <w:rFonts w:ascii="仿宋" w:hAnsi="仿宋" w:eastAsia="仿宋"/>
          <w:sz w:val="32"/>
          <w:szCs w:val="32"/>
        </w:rPr>
        <w:t>新昌中国茶市交易总量1.71万吨，同比减少2.59%；交易总额55.14亿元，同比减少1.02%。其中龙井茶交易稳中有进，交易量1.55万吨，同比减少1.01%；交易额48.8亿元，同比增长2.56%；交易均价314.60元/公斤，同比增长3.6%。</w:t>
      </w:r>
    </w:p>
    <w:p>
      <w:pPr>
        <w:ind w:firstLine="640" w:firstLineChars="200"/>
        <w:rPr>
          <w:rFonts w:ascii="仿宋" w:hAnsi="仿宋" w:eastAsia="仿宋"/>
          <w:sz w:val="32"/>
          <w:szCs w:val="32"/>
        </w:rPr>
      </w:pPr>
      <w:r>
        <w:rPr>
          <w:rFonts w:ascii="仿宋" w:hAnsi="仿宋" w:eastAsia="仿宋"/>
          <w:sz w:val="32"/>
          <w:szCs w:val="32"/>
        </w:rPr>
        <w:t>（三）茶叶出口小幅下降</w:t>
      </w:r>
    </w:p>
    <w:p>
      <w:pPr>
        <w:ind w:firstLine="640" w:firstLineChars="200"/>
        <w:rPr>
          <w:rFonts w:ascii="仿宋" w:hAnsi="仿宋" w:eastAsia="仿宋"/>
          <w:sz w:val="32"/>
          <w:szCs w:val="32"/>
        </w:rPr>
      </w:pPr>
      <w:r>
        <w:rPr>
          <w:rFonts w:ascii="仿宋" w:hAnsi="仿宋" w:eastAsia="仿宋"/>
          <w:sz w:val="32"/>
          <w:szCs w:val="32"/>
        </w:rPr>
        <w:t>据中国海关统计，2020年全国茶叶出口量34.88万吨，同比减少</w:t>
      </w:r>
      <w:r>
        <w:rPr>
          <w:rFonts w:ascii="仿宋" w:hAnsi="仿宋" w:eastAsia="仿宋"/>
          <w:kern w:val="0"/>
          <w:sz w:val="32"/>
          <w:szCs w:val="32"/>
        </w:rPr>
        <w:t>1.77万吨，降幅4.84%</w:t>
      </w:r>
      <w:r>
        <w:rPr>
          <w:rFonts w:ascii="仿宋" w:hAnsi="仿宋" w:eastAsia="仿宋"/>
          <w:sz w:val="32"/>
          <w:szCs w:val="32"/>
        </w:rPr>
        <w:t>，</w:t>
      </w:r>
      <w:r>
        <w:rPr>
          <w:rFonts w:ascii="仿宋" w:hAnsi="仿宋" w:eastAsia="仿宋"/>
          <w:kern w:val="0"/>
          <w:sz w:val="32"/>
          <w:szCs w:val="32"/>
        </w:rPr>
        <w:t>这是自2014年以来我国茶叶出口量首次出现下降，同时印证了我们年初的判断</w:t>
      </w:r>
      <w:r>
        <w:rPr>
          <w:rFonts w:ascii="仿宋" w:hAnsi="仿宋" w:eastAsia="仿宋"/>
          <w:sz w:val="32"/>
          <w:szCs w:val="32"/>
        </w:rPr>
        <w:t>；出口额20.38亿美元，同比增长0.91%；出口均价5.84美元/千克，同比增长6.04%。</w:t>
      </w:r>
    </w:p>
    <w:p>
      <w:pPr>
        <w:ind w:firstLine="640" w:firstLineChars="200"/>
        <w:rPr>
          <w:rFonts w:ascii="仿宋" w:hAnsi="仿宋" w:eastAsia="仿宋"/>
          <w:sz w:val="32"/>
          <w:szCs w:val="32"/>
        </w:rPr>
      </w:pPr>
      <w:r>
        <w:rPr>
          <w:rFonts w:ascii="仿宋" w:hAnsi="仿宋" w:eastAsia="仿宋"/>
          <w:sz w:val="32"/>
          <w:szCs w:val="32"/>
        </w:rPr>
        <w:t>分茶类看，跌多涨少。除普洱茶外，其余茶类的出口量均有不同幅度减少。绿茶出口量29.34万吨，占总出口量的比重84.1%，同比减少3.5%；红茶出口量2.88万吨，占总出口量的比重8.3%，同比减少18.2%；乌龙茶出口量1.69万吨，占总出口量的比重4.9%，同比减少6.6%；花茶出口量6130吨，占总出口量的比重1.8%，同比减少5.5%；普洱茶出口量3545吨，占总出口量的比重1.0%，同比增长27.2%。</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分月来看，增减互现。2020年1月-2月，受疫情直接影响，国际物流不畅、企业开工延迟、叠加春节假期因素，中国茶叶对外贸易遭受阻滞，出口量仅为3.84万吨，同比减少26.34%；3月-4月，国内疫情形势改善，企业全面复工复产，积压订单加速交付，、出口形势有所好转，3月份出口量3.37万吨，月环比减少3.24%，同比增长21.88%；4月份出口量3.63万吨，月环比增长7.72%，同比增长18.77%；5月份经过前面两个月的大量出货，积压订单基本完成交付，新增订单不多，出口量3.57万吨，月环比减少1.65%；6月份出口量延续调整走势，为3.17万吨，月环比减少11.20%；7月份出口量2.97万吨，月环比减少6.3%；8月份出口量2.84万吨，月环比减少2.76%；9月份出口量2.91万吨，月环比增长2.46%；10月份出口量2.94万吨，月环比增长1%；11月份出口量3.01万吨，月环比增长2.38%；12月份出口量2.46万吨，月环比减少18.27%。</w:t>
      </w:r>
    </w:p>
    <w:p>
      <w:pPr>
        <w:ind w:firstLine="640" w:firstLineChars="200"/>
        <w:rPr>
          <w:rFonts w:ascii="仿宋" w:hAnsi="仿宋" w:eastAsia="仿宋"/>
          <w:sz w:val="32"/>
          <w:szCs w:val="32"/>
        </w:rPr>
      </w:pPr>
      <w:r>
        <w:rPr>
          <w:rFonts w:ascii="仿宋" w:hAnsi="仿宋" w:eastAsia="仿宋"/>
          <w:sz w:val="32"/>
          <w:szCs w:val="32"/>
        </w:rPr>
        <w:t>分省来看，浙江仍位居全国出口量和出口额第一位，但占比小幅下降。位于全国茶叶出口量前六位的省份为:浙江14.62万吨，占比41.90%，继续保持领先；安徽6.64万吨，占比19.04%；湖南3.55万吨，占比10.18%；福建2.20万吨，占比6.30%；湖北1.84万吨，占比5.26%；江西1.44万吨，占比4.14%。出口额前六位的省份是：浙江4.47亿美元，占比21.95%，领先优势微弱；福建4.18亿美元，占比20.50%；安徽2.80亿美元，占比13.74%；湖北2.01亿美元，占比9.87%；云南1.10亿美元，占比5.42%；贵州1.04亿美元，占比5.08%。</w:t>
      </w:r>
    </w:p>
    <w:p>
      <w:pPr>
        <w:ind w:firstLine="640" w:firstLineChars="200"/>
        <w:rPr>
          <w:rFonts w:ascii="仿宋" w:hAnsi="仿宋" w:eastAsia="仿宋"/>
          <w:sz w:val="32"/>
          <w:szCs w:val="32"/>
        </w:rPr>
      </w:pPr>
      <w:r>
        <w:rPr>
          <w:rFonts w:ascii="仿宋" w:hAnsi="仿宋" w:eastAsia="仿宋"/>
          <w:kern w:val="0"/>
          <w:sz w:val="32"/>
          <w:szCs w:val="32"/>
        </w:rPr>
        <w:t>（四）茶事活动转战“云端”</w:t>
      </w:r>
    </w:p>
    <w:p>
      <w:pPr>
        <w:ind w:firstLine="640" w:firstLineChars="200"/>
        <w:rPr>
          <w:rFonts w:ascii="仿宋" w:hAnsi="仿宋" w:eastAsia="仿宋"/>
          <w:sz w:val="32"/>
          <w:szCs w:val="32"/>
        </w:rPr>
      </w:pPr>
      <w:r>
        <w:rPr>
          <w:rFonts w:ascii="仿宋" w:hAnsi="仿宋" w:eastAsia="仿宋"/>
          <w:sz w:val="32"/>
          <w:szCs w:val="32"/>
        </w:rPr>
        <w:t>5月21日是联合国确定的首个“国际茶日”，为庆祝这一茶界盛事，在农业农村部指导下，浙江在中国茶叶博物馆举办首个“国际茶日”浙江杭州主场活动。活动通过实时全网直播，发布“国际茶日”LOGO、“中国茶产业杭州指数”和“世界茶乡看浙江·浙里游好茶”十大茶旅精品线路，邀请专家分享“茶与世界”“茶科技与发展”“茶与文化”等主题，与国际友人一起投寄“国际茶日”定制明信片，邀请全球朋友共品共享中国好茶。据不完全统计，各级媒体刊发浙江庆祝“国际茶日”等相关报道84篇，包括人民日报头版、中央电视台《新闻联播》、《新闻30分》栏目等。全省各地线上线下同步举办名茶品鉴、直播带货、茶艺表演、现场体验与创作等现场或直播活动，全省累计阅读观看近2100万人次。</w:t>
      </w:r>
    </w:p>
    <w:p>
      <w:pPr>
        <w:ind w:firstLine="640" w:firstLineChars="200"/>
        <w:rPr>
          <w:rFonts w:ascii="仿宋" w:hAnsi="仿宋" w:eastAsia="仿宋"/>
          <w:sz w:val="32"/>
          <w:szCs w:val="32"/>
        </w:rPr>
      </w:pPr>
      <w:r>
        <w:rPr>
          <w:rFonts w:ascii="仿宋" w:hAnsi="仿宋" w:eastAsia="仿宋"/>
          <w:kern w:val="0"/>
          <w:sz w:val="32"/>
          <w:szCs w:val="32"/>
        </w:rPr>
        <w:t>每年30余场茶事活动是推动浙江茶产业打品牌、拓市场的重要举措。为防控疫情，2020年浙江各地纷纷将茶事活动搬到线上，相继举办中国（国际）茶商大会·松阳香茶网络茶叶节、开化龙顶·云上茶市、温州早茶云上品牌展、安吉白茶博览会、绍兴“云上茶博”等活动，其中茶商大会完成线上交易额600余万元，带动线下销售超2000万元。省农业农村厅组织举办“抖音有好货·县长来直播”龙井茶直播专场活动，杭州西湖、嵊州、新昌等重点产茶县（市、区）领导直播吆喝，各地专家、茶企、茶人纷纷化身主播，抖音、斗鱼、虎牙、优酷、爱奇艺、淘宝成为浙江春茶“新战场”，吸引了广大爱茶网民的关注，助力浙江春茶</w:t>
      </w:r>
      <w:r>
        <w:rPr>
          <w:rFonts w:ascii="仿宋" w:hAnsi="仿宋" w:eastAsia="仿宋"/>
          <w:sz w:val="32"/>
          <w:szCs w:val="32"/>
        </w:rPr>
        <w:t>逆势上扬。业内相关培训需求激增，茶叶直播培训名额供不应求，举办期数屡屡增加。夏秋季疫情防控进入常态化后，线上销售效果出现明显分化。</w:t>
      </w:r>
    </w:p>
    <w:p>
      <w:pPr>
        <w:ind w:firstLine="640" w:firstLineChars="200"/>
        <w:rPr>
          <w:rFonts w:ascii="仿宋" w:hAnsi="仿宋" w:eastAsia="仿宋"/>
          <w:sz w:val="32"/>
          <w:szCs w:val="32"/>
        </w:rPr>
      </w:pPr>
      <w:r>
        <w:rPr>
          <w:rFonts w:ascii="仿宋" w:hAnsi="仿宋" w:eastAsia="仿宋"/>
          <w:kern w:val="0"/>
          <w:sz w:val="32"/>
          <w:szCs w:val="32"/>
        </w:rPr>
        <w:t>（五）抗疫助农成效显著</w:t>
      </w:r>
    </w:p>
    <w:p>
      <w:pPr>
        <w:ind w:firstLine="640" w:firstLineChars="200"/>
        <w:rPr>
          <w:rFonts w:ascii="仿宋" w:hAnsi="仿宋" w:eastAsia="仿宋"/>
          <w:sz w:val="32"/>
          <w:szCs w:val="32"/>
        </w:rPr>
      </w:pPr>
      <w:r>
        <w:rPr>
          <w:rFonts w:ascii="仿宋" w:hAnsi="仿宋" w:eastAsia="仿宋"/>
          <w:sz w:val="32"/>
          <w:szCs w:val="32"/>
        </w:rPr>
        <w:t>面对疫情来袭，我省茶叶主管部门在2月初就发布了</w:t>
      </w:r>
      <w:r>
        <w:rPr>
          <w:rFonts w:ascii="仿宋" w:hAnsi="仿宋" w:eastAsia="仿宋"/>
          <w:color w:val="000000"/>
          <w:sz w:val="32"/>
          <w:szCs w:val="32"/>
        </w:rPr>
        <w:t>《</w:t>
      </w:r>
      <w:r>
        <w:rPr>
          <w:rFonts w:ascii="仿宋" w:hAnsi="仿宋" w:eastAsia="仿宋"/>
          <w:sz w:val="32"/>
          <w:szCs w:val="32"/>
        </w:rPr>
        <w:t>新冠疫情下春茶生产应对措施》，为全国最早提出建议措施的省份之一。各地、各主体密切关注疫情及有关</w:t>
      </w:r>
      <w:r>
        <w:rPr>
          <w:rFonts w:ascii="仿宋" w:hAnsi="仿宋" w:eastAsia="仿宋"/>
          <w:color w:val="000000"/>
          <w:kern w:val="0"/>
          <w:sz w:val="32"/>
          <w:szCs w:val="32"/>
        </w:rPr>
        <w:t>防控措施变化，及时调整生产</w:t>
      </w:r>
      <w:r>
        <w:rPr>
          <w:rFonts w:ascii="仿宋" w:hAnsi="仿宋" w:eastAsia="仿宋"/>
          <w:sz w:val="32"/>
          <w:szCs w:val="32"/>
        </w:rPr>
        <w:t>安排</w:t>
      </w:r>
      <w:r>
        <w:rPr>
          <w:rFonts w:ascii="仿宋" w:hAnsi="仿宋" w:eastAsia="仿宋"/>
          <w:color w:val="000000"/>
          <w:kern w:val="0"/>
          <w:sz w:val="32"/>
          <w:szCs w:val="32"/>
        </w:rPr>
        <w:t>，</w:t>
      </w:r>
      <w:r>
        <w:rPr>
          <w:rFonts w:ascii="仿宋" w:hAnsi="仿宋" w:eastAsia="仿宋"/>
          <w:sz w:val="32"/>
          <w:szCs w:val="32"/>
        </w:rPr>
        <w:t>重点做好采茶工和加工工防疫安全培训，</w:t>
      </w:r>
      <w:r>
        <w:rPr>
          <w:rFonts w:ascii="仿宋" w:hAnsi="仿宋" w:eastAsia="仿宋"/>
          <w:color w:val="000000"/>
          <w:kern w:val="0"/>
          <w:sz w:val="32"/>
          <w:szCs w:val="32"/>
        </w:rPr>
        <w:t>创新采取了茶园分区块错开采摘和分散收青、独立承担加工过程的一个环节等有效措施，提高机采和连续自动化生产线加工等比例，减少茶厂用工数量和人员集聚。</w:t>
      </w:r>
      <w:r>
        <w:rPr>
          <w:rFonts w:ascii="仿宋" w:hAnsi="仿宋" w:eastAsia="仿宋"/>
          <w:sz w:val="32"/>
          <w:szCs w:val="32"/>
        </w:rPr>
        <w:t>浙江省级层面出台支持小微企业渡过难关17条、农产品稳产保供贷款政策性担保等农业普惠政策，全省各地针对春茶生产相继出台专项支持政策，有效保障了春茶生产。如湖州市出台春茶生产4条专项支持政策，首创采茶工新冠隔离险、加快低温保险理赔、开展抗疫支农贷并给予规模基地（采摘30亩以上）一次性补助；温州给予茶业招工、交通、防疫物资等一次性补助，实行金融扶持政策缓解企业资金压力；新昌、安吉出台政策，对用电用气、采制工资、物流费用和市场经营物业费等方面进行补助和优惠；杭州西湖区落实600万元，对茶企收购本地茶叶、茶农安全防护等方面发放补助。</w:t>
      </w:r>
    </w:p>
    <w:p>
      <w:pPr>
        <w:ind w:firstLine="640" w:firstLineChars="200"/>
        <w:rPr>
          <w:rFonts w:ascii="仿宋" w:hAnsi="仿宋" w:eastAsia="仿宋"/>
          <w:sz w:val="32"/>
          <w:szCs w:val="32"/>
        </w:rPr>
      </w:pPr>
      <w:r>
        <w:rPr>
          <w:rFonts w:ascii="仿宋" w:hAnsi="仿宋" w:eastAsia="仿宋"/>
          <w:color w:val="000000"/>
          <w:kern w:val="0"/>
          <w:sz w:val="32"/>
          <w:szCs w:val="32"/>
        </w:rPr>
        <w:t>合理调整茶类结构，错开茶类加工时段，有效确保了我省茶叶生产量。</w:t>
      </w:r>
      <w:r>
        <w:rPr>
          <w:rFonts w:ascii="仿宋" w:hAnsi="仿宋" w:eastAsia="仿宋"/>
          <w:sz w:val="32"/>
          <w:szCs w:val="32"/>
        </w:rPr>
        <w:t>我省除黑茶外的其他茶类整体增势良好，白茶产值超亿元，同比增长1.3倍；黄茶产值同比增长16.12%；红茶同比增长12.54%；桂花红茶、腊梅白茶、黄大茶等一批新产品推向市场。精深加工持续较快发展，全省生产企业增至111家，消化原料茶20.6万吨，同比增长10.85%；实现产值43.7亿元，同比增长26.64%。抹茶产量同比增长8.06%，产值同比增长15.06%，而碾茶产量同比减少11.85%。2020年全省茶叶第三产业增加值91.1亿元，同比增长11%。</w:t>
      </w:r>
    </w:p>
    <w:p>
      <w:pPr>
        <w:ind w:firstLine="640" w:firstLineChars="200"/>
        <w:rPr>
          <w:rFonts w:ascii="仿宋" w:hAnsi="仿宋" w:eastAsia="仿宋"/>
          <w:sz w:val="32"/>
          <w:szCs w:val="32"/>
        </w:rPr>
      </w:pPr>
      <w:r>
        <w:rPr>
          <w:rFonts w:ascii="仿宋" w:hAnsi="仿宋" w:eastAsia="仿宋"/>
          <w:kern w:val="0"/>
          <w:sz w:val="32"/>
          <w:szCs w:val="32"/>
        </w:rPr>
        <w:t>（六）</w:t>
      </w:r>
      <w:r>
        <w:rPr>
          <w:rFonts w:ascii="仿宋" w:hAnsi="仿宋" w:eastAsia="仿宋"/>
          <w:sz w:val="32"/>
          <w:szCs w:val="32"/>
        </w:rPr>
        <w:t>龙井茶质量提升与品牌保护扎实推进</w:t>
      </w:r>
    </w:p>
    <w:p>
      <w:pPr>
        <w:ind w:firstLine="640" w:firstLineChars="200"/>
        <w:rPr>
          <w:rFonts w:ascii="仿宋" w:hAnsi="仿宋" w:eastAsia="仿宋"/>
          <w:sz w:val="32"/>
          <w:szCs w:val="32"/>
        </w:rPr>
      </w:pPr>
      <w:r>
        <w:rPr>
          <w:rFonts w:ascii="仿宋" w:hAnsi="仿宋" w:eastAsia="仿宋"/>
          <w:kern w:val="0"/>
          <w:sz w:val="32"/>
          <w:szCs w:val="32"/>
        </w:rPr>
        <w:t>为保持和传承龙井茶独特的品质特征，实现龙井茶生产经营和市场监管有标可依，省农业农村厅启动了“龙井茶实物标准样研制”工作。由浙江省农业技术推广中心、国家茶叶质检中心、农业农村部茶叶质检中心等主要单位组成的制标小组，依据GB/T 18650-2008《地理标志产品 龙井茶》文字标准和 GB/T 18795-2012《茶叶标准样品制备技术条件》开展实物标准样研制工作，保证样品的代表性、科学性和可靠性。2020年8月，龙井茶国家标准实物样品通过了由浙江省茶叶标准化技术委员会组织的技术审定。本套实物标准样的制定将显著提升龙井茶产品定级、质量判定的可操作性，对龙井茶品牌保护、生产销售规范和产业高质量发展具有重要意义。</w:t>
      </w:r>
      <w:r>
        <w:rPr>
          <w:rFonts w:ascii="仿宋" w:hAnsi="仿宋" w:eastAsia="仿宋"/>
          <w:sz w:val="32"/>
          <w:szCs w:val="32"/>
        </w:rPr>
        <w:t>11月17日，全省龙井茶质量与证明商标使用培训班在杭州举行，全省龙井茶团队专家、龙井茶产区业务干部和龙井茶证明商标准用企业代表出席。以实物标准样为引领，以龙井茶标志标识规范使用为手段，对推动龙井茶高质量发展具有重要作用。2020年，全省龙井茶产量2.45万吨，同比增长1.91%；农业产值52.81亿元，同比增长8.35%。</w:t>
      </w:r>
    </w:p>
    <w:p>
      <w:pPr>
        <w:ind w:firstLine="643" w:firstLineChars="200"/>
        <w:rPr>
          <w:rFonts w:ascii="仿宋" w:hAnsi="仿宋" w:eastAsia="仿宋"/>
          <w:b/>
          <w:sz w:val="32"/>
          <w:szCs w:val="32"/>
        </w:rPr>
      </w:pPr>
      <w:r>
        <w:rPr>
          <w:rFonts w:ascii="仿宋" w:hAnsi="仿宋" w:eastAsia="仿宋"/>
          <w:b/>
          <w:sz w:val="32"/>
          <w:szCs w:val="32"/>
        </w:rPr>
        <w:t>二、茶产业面临的问题与挑战</w:t>
      </w:r>
    </w:p>
    <w:p>
      <w:pPr>
        <w:ind w:firstLine="640" w:firstLineChars="200"/>
        <w:rPr>
          <w:rFonts w:ascii="仿宋" w:hAnsi="仿宋" w:eastAsia="仿宋"/>
          <w:sz w:val="32"/>
          <w:szCs w:val="32"/>
        </w:rPr>
      </w:pPr>
      <w:r>
        <w:rPr>
          <w:rFonts w:ascii="仿宋" w:hAnsi="仿宋" w:eastAsia="仿宋"/>
          <w:sz w:val="32"/>
          <w:szCs w:val="32"/>
        </w:rPr>
        <w:t>（一）经营主体龙头企业不多</w:t>
      </w:r>
    </w:p>
    <w:p>
      <w:pPr>
        <w:ind w:firstLine="640" w:firstLineChars="200"/>
        <w:rPr>
          <w:rFonts w:ascii="仿宋" w:hAnsi="仿宋" w:eastAsia="仿宋"/>
          <w:sz w:val="32"/>
          <w:szCs w:val="32"/>
        </w:rPr>
      </w:pPr>
      <w:r>
        <w:rPr>
          <w:rFonts w:ascii="仿宋" w:hAnsi="仿宋" w:eastAsia="仿宋"/>
          <w:sz w:val="32"/>
          <w:szCs w:val="32"/>
        </w:rPr>
        <w:t xml:space="preserve">据2020年业务部门统计，全省茶叶行业生产经营性企业中，国家级、省级农业龙头企业仅5家和34家，销售额2亿元以上的大型企业仅9家，500万-2亿之间的中型企业占18.6%，小微企业占81.1%，表明浙江茶企以小微型为主，大中型不足五分之一，整体实力不够强。     </w:t>
      </w:r>
    </w:p>
    <w:p>
      <w:pPr>
        <w:ind w:firstLine="640" w:firstLineChars="200"/>
        <w:rPr>
          <w:rFonts w:ascii="仿宋" w:hAnsi="仿宋" w:eastAsia="仿宋"/>
          <w:sz w:val="32"/>
          <w:szCs w:val="32"/>
        </w:rPr>
      </w:pPr>
      <w:r>
        <w:rPr>
          <w:rFonts w:ascii="仿宋" w:hAnsi="仿宋" w:eastAsia="仿宋"/>
          <w:sz w:val="32"/>
          <w:szCs w:val="32"/>
        </w:rPr>
        <w:t>（二）茶园防灾能力尚弱</w:t>
      </w:r>
    </w:p>
    <w:p>
      <w:pPr>
        <w:ind w:firstLine="640" w:firstLineChars="200"/>
        <w:rPr>
          <w:rFonts w:ascii="仿宋" w:hAnsi="仿宋" w:eastAsia="仿宋"/>
          <w:sz w:val="32"/>
          <w:szCs w:val="32"/>
        </w:rPr>
      </w:pPr>
      <w:r>
        <w:rPr>
          <w:rFonts w:ascii="仿宋" w:hAnsi="仿宋" w:eastAsia="仿宋"/>
          <w:sz w:val="32"/>
          <w:szCs w:val="32"/>
        </w:rPr>
        <w:t>茶园基础设施相对薄弱，特别是缺少完善的防灾设施，倒春寒、高温干旱已成为影响我省名优茶生产的最大制约因素。低温政策性保险随赔付情况呈现明显起伏趋势，2019年春季触赔少、2020年投保费用就下降了四成多。</w:t>
      </w:r>
    </w:p>
    <w:p>
      <w:pPr>
        <w:ind w:firstLine="640" w:firstLineChars="200"/>
        <w:rPr>
          <w:rFonts w:ascii="仿宋" w:hAnsi="仿宋" w:eastAsia="仿宋"/>
          <w:sz w:val="32"/>
          <w:szCs w:val="32"/>
        </w:rPr>
      </w:pPr>
      <w:r>
        <w:rPr>
          <w:rFonts w:ascii="仿宋" w:hAnsi="仿宋" w:eastAsia="仿宋"/>
          <w:sz w:val="32"/>
          <w:szCs w:val="32"/>
        </w:rPr>
        <w:t>（三）名优茶采摘破解难</w:t>
      </w:r>
    </w:p>
    <w:p>
      <w:pPr>
        <w:ind w:firstLine="640" w:firstLineChars="200"/>
        <w:rPr>
          <w:rFonts w:ascii="仿宋" w:hAnsi="仿宋" w:eastAsia="仿宋"/>
          <w:sz w:val="32"/>
          <w:szCs w:val="32"/>
        </w:rPr>
      </w:pPr>
      <w:r>
        <w:rPr>
          <w:rFonts w:ascii="仿宋" w:hAnsi="仿宋" w:eastAsia="仿宋"/>
          <w:sz w:val="32"/>
          <w:szCs w:val="32"/>
        </w:rPr>
        <w:t>浙江以名优茶为主导，茶叶外形要求高，对采摘劳动力依赖大，采茶工工资每年以10%左右速度递增，名优茶机采技术还跟不上农业现代化步伐，全程“机器换人”一时还难以实现，采茶工短缺因素仍在制约产业发展。</w:t>
      </w:r>
    </w:p>
    <w:p>
      <w:pPr>
        <w:ind w:firstLine="640" w:firstLineChars="200"/>
        <w:rPr>
          <w:rFonts w:ascii="仿宋" w:hAnsi="仿宋" w:eastAsia="仿宋"/>
          <w:sz w:val="32"/>
          <w:szCs w:val="32"/>
        </w:rPr>
      </w:pPr>
      <w:r>
        <w:rPr>
          <w:rFonts w:ascii="仿宋" w:hAnsi="仿宋" w:eastAsia="仿宋"/>
          <w:sz w:val="32"/>
          <w:szCs w:val="32"/>
        </w:rPr>
        <w:t>（四）宣传推广力度不够</w:t>
      </w:r>
    </w:p>
    <w:p>
      <w:pPr>
        <w:ind w:firstLine="640" w:firstLineChars="200"/>
        <w:rPr>
          <w:rFonts w:ascii="仿宋" w:hAnsi="仿宋" w:eastAsia="仿宋"/>
          <w:sz w:val="32"/>
          <w:szCs w:val="32"/>
        </w:rPr>
      </w:pPr>
      <w:r>
        <w:rPr>
          <w:rFonts w:ascii="仿宋" w:hAnsi="仿宋" w:eastAsia="仿宋"/>
          <w:sz w:val="32"/>
          <w:szCs w:val="32"/>
        </w:rPr>
        <w:t>受疫情影响，从上到下组织到销区进行的线下推广活动减少，线上宣传活动的影响力有限。</w:t>
      </w:r>
    </w:p>
    <w:p>
      <w:pPr>
        <w:ind w:firstLine="643" w:firstLineChars="200"/>
        <w:rPr>
          <w:rFonts w:ascii="仿宋" w:hAnsi="仿宋" w:eastAsia="仿宋"/>
          <w:b/>
          <w:sz w:val="32"/>
          <w:szCs w:val="32"/>
        </w:rPr>
      </w:pPr>
      <w:r>
        <w:rPr>
          <w:rFonts w:ascii="仿宋" w:hAnsi="仿宋" w:eastAsia="仿宋"/>
          <w:b/>
          <w:sz w:val="32"/>
          <w:szCs w:val="32"/>
        </w:rPr>
        <w:t>三、2021年茶产业发展趋势预测</w:t>
      </w:r>
    </w:p>
    <w:p>
      <w:pPr>
        <w:ind w:firstLine="640" w:firstLineChars="200"/>
        <w:rPr>
          <w:rFonts w:ascii="仿宋" w:hAnsi="仿宋" w:eastAsia="仿宋"/>
          <w:sz w:val="32"/>
          <w:szCs w:val="32"/>
        </w:rPr>
      </w:pPr>
      <w:r>
        <w:rPr>
          <w:rFonts w:ascii="仿宋" w:hAnsi="仿宋" w:eastAsia="仿宋"/>
          <w:sz w:val="32"/>
          <w:szCs w:val="32"/>
        </w:rPr>
        <w:t>（一）茶叶生产受疫情影响因素不可忽视</w:t>
      </w:r>
    </w:p>
    <w:p>
      <w:pPr>
        <w:ind w:firstLine="640" w:firstLineChars="200"/>
        <w:rPr>
          <w:rFonts w:ascii="仿宋" w:hAnsi="仿宋" w:eastAsia="仿宋"/>
          <w:sz w:val="32"/>
          <w:szCs w:val="32"/>
        </w:rPr>
      </w:pPr>
      <w:r>
        <w:rPr>
          <w:rFonts w:ascii="仿宋" w:hAnsi="仿宋" w:eastAsia="仿宋"/>
          <w:sz w:val="32"/>
          <w:szCs w:val="32"/>
        </w:rPr>
        <w:t>受春运期间疫情防控、人员流动受限的影响，春茶采摘、加工劳动力紧张等将对早春茶生产带来不利因素。</w:t>
      </w:r>
    </w:p>
    <w:p>
      <w:pPr>
        <w:ind w:firstLine="640" w:firstLineChars="200"/>
        <w:rPr>
          <w:rFonts w:ascii="仿宋" w:hAnsi="仿宋" w:eastAsia="仿宋"/>
          <w:sz w:val="32"/>
          <w:szCs w:val="32"/>
        </w:rPr>
      </w:pPr>
      <w:r>
        <w:rPr>
          <w:rFonts w:ascii="仿宋" w:hAnsi="仿宋" w:eastAsia="仿宋"/>
          <w:sz w:val="32"/>
          <w:szCs w:val="32"/>
        </w:rPr>
        <w:t>（二）国内需求增长放缓带来销售的不确定性</w:t>
      </w:r>
    </w:p>
    <w:p>
      <w:pPr>
        <w:ind w:firstLine="640" w:firstLineChars="200"/>
        <w:rPr>
          <w:rFonts w:ascii="仿宋" w:hAnsi="仿宋" w:eastAsia="仿宋"/>
          <w:sz w:val="32"/>
          <w:szCs w:val="32"/>
        </w:rPr>
      </w:pPr>
      <w:r>
        <w:rPr>
          <w:rFonts w:ascii="仿宋" w:hAnsi="仿宋" w:eastAsia="仿宋"/>
          <w:sz w:val="32"/>
          <w:szCs w:val="32"/>
        </w:rPr>
        <w:t>国内茶叶消费连续多年快速增长，但上涨动能明显放缓，加上市场开放的不确定性叠加影响，国内茶叶销售形势不容乐观</w:t>
      </w:r>
      <w:r>
        <w:rPr>
          <w:rFonts w:hint="eastAsia" w:ascii="仿宋" w:hAnsi="仿宋" w:eastAsia="仿宋"/>
          <w:sz w:val="32"/>
          <w:szCs w:val="32"/>
        </w:rPr>
        <w:t>，</w:t>
      </w:r>
      <w:r>
        <w:rPr>
          <w:rFonts w:ascii="仿宋" w:hAnsi="仿宋" w:eastAsia="仿宋"/>
          <w:sz w:val="32"/>
          <w:szCs w:val="32"/>
        </w:rPr>
        <w:t>产地与销区实体市场开放的不确定性将影响茶叶内销</w:t>
      </w:r>
      <w:r>
        <w:rPr>
          <w:rFonts w:hint="eastAsia" w:ascii="仿宋" w:hAnsi="仿宋" w:eastAsia="仿宋"/>
          <w:sz w:val="32"/>
          <w:szCs w:val="32"/>
        </w:rPr>
        <w:t>。</w:t>
      </w:r>
    </w:p>
    <w:p>
      <w:pPr>
        <w:ind w:firstLine="640" w:firstLineChars="200"/>
        <w:rPr>
          <w:rFonts w:ascii="仿宋" w:hAnsi="仿宋" w:eastAsia="仿宋"/>
          <w:sz w:val="32"/>
          <w:szCs w:val="32"/>
        </w:rPr>
      </w:pPr>
      <w:r>
        <w:rPr>
          <w:rFonts w:ascii="仿宋" w:hAnsi="仿宋" w:eastAsia="仿宋"/>
          <w:sz w:val="32"/>
          <w:szCs w:val="32"/>
        </w:rPr>
        <w:t>（三）茶叶出口下滑势头仍有惯性</w:t>
      </w:r>
    </w:p>
    <w:p>
      <w:pPr>
        <w:ind w:firstLine="640" w:firstLineChars="200"/>
        <w:rPr>
          <w:rFonts w:ascii="仿宋" w:hAnsi="仿宋" w:eastAsia="仿宋"/>
          <w:sz w:val="32"/>
          <w:szCs w:val="32"/>
        </w:rPr>
      </w:pPr>
      <w:r>
        <w:rPr>
          <w:rFonts w:ascii="仿宋" w:hAnsi="仿宋" w:eastAsia="仿宋"/>
          <w:sz w:val="32"/>
          <w:szCs w:val="32"/>
        </w:rPr>
        <w:t>国际社会新冠肺炎疫情加速蔓延对茶叶出口带来的影响尚未结束，我国茶叶出口仍将持续下滑，下滑幅度有待观察。</w:t>
      </w:r>
    </w:p>
    <w:p>
      <w:pPr>
        <w:ind w:firstLine="643" w:firstLineChars="200"/>
        <w:rPr>
          <w:rFonts w:ascii="仿宋" w:hAnsi="仿宋" w:eastAsia="仿宋"/>
          <w:b/>
          <w:sz w:val="32"/>
          <w:szCs w:val="32"/>
        </w:rPr>
      </w:pPr>
      <w:r>
        <w:rPr>
          <w:rFonts w:ascii="仿宋" w:hAnsi="仿宋" w:eastAsia="仿宋"/>
          <w:b/>
          <w:sz w:val="32"/>
          <w:szCs w:val="32"/>
        </w:rPr>
        <w:t>四、2021年促进浙江茶产业发展的建议</w:t>
      </w:r>
    </w:p>
    <w:p>
      <w:pPr>
        <w:ind w:firstLine="640" w:firstLineChars="200"/>
        <w:rPr>
          <w:rFonts w:ascii="仿宋" w:hAnsi="仿宋" w:eastAsia="仿宋"/>
          <w:sz w:val="32"/>
          <w:szCs w:val="32"/>
        </w:rPr>
      </w:pPr>
      <w:r>
        <w:rPr>
          <w:rFonts w:ascii="仿宋" w:hAnsi="仿宋" w:eastAsia="仿宋"/>
          <w:sz w:val="32"/>
          <w:szCs w:val="32"/>
        </w:rPr>
        <w:t>2021年是“十四五”开局之年，切实把握新发展阶段、贯彻新发展理念、构建新发展格局对进一步巩固浙江茶产业优势地位、推进浙江茶产业现代化先行发展具有重大意义。按照乡村振兴战略总体要求，紧紧围绕浙江奋力打造“重要窗口”主题，深入实施新时代浙江“三农”工作“369”行动和2021本质建设年活动，以“高效生态、特色精品”为目标，</w:t>
      </w:r>
      <w:r>
        <w:rPr>
          <w:rFonts w:ascii="仿宋" w:hAnsi="仿宋" w:eastAsia="仿宋"/>
          <w:color w:val="000000"/>
          <w:sz w:val="32"/>
          <w:szCs w:val="32"/>
        </w:rPr>
        <w:t>主攻茶树种质资源、品质品牌、科技人才和链条齐全的优势提升，</w:t>
      </w:r>
      <w:r>
        <w:rPr>
          <w:rFonts w:ascii="仿宋" w:hAnsi="仿宋" w:eastAsia="仿宋"/>
          <w:sz w:val="32"/>
          <w:szCs w:val="32"/>
        </w:rPr>
        <w:t>进一步</w:t>
      </w:r>
      <w:r>
        <w:rPr>
          <w:rFonts w:ascii="仿宋" w:hAnsi="仿宋" w:eastAsia="仿宋"/>
          <w:color w:val="000000"/>
          <w:sz w:val="32"/>
          <w:szCs w:val="32"/>
        </w:rPr>
        <w:t>提高茶产业综合产出率和效益，</w:t>
      </w:r>
      <w:r>
        <w:rPr>
          <w:rFonts w:ascii="仿宋" w:hAnsi="仿宋" w:eastAsia="仿宋"/>
          <w:sz w:val="32"/>
          <w:szCs w:val="32"/>
        </w:rPr>
        <w:t>建议着力推进以下几方面工作。</w:t>
      </w:r>
    </w:p>
    <w:p>
      <w:pPr>
        <w:ind w:firstLine="640" w:firstLineChars="200"/>
        <w:rPr>
          <w:rFonts w:ascii="仿宋" w:hAnsi="仿宋" w:eastAsia="仿宋"/>
          <w:sz w:val="32"/>
          <w:szCs w:val="32"/>
        </w:rPr>
      </w:pPr>
      <w:r>
        <w:rPr>
          <w:rFonts w:ascii="仿宋" w:hAnsi="仿宋" w:eastAsia="仿宋"/>
          <w:sz w:val="32"/>
          <w:szCs w:val="32"/>
        </w:rPr>
        <w:t>（一）积极应对疫情，着力保障安全生产</w:t>
      </w:r>
    </w:p>
    <w:p>
      <w:pPr>
        <w:ind w:firstLine="640" w:firstLineChars="200"/>
        <w:rPr>
          <w:rFonts w:ascii="仿宋" w:hAnsi="仿宋" w:eastAsia="仿宋"/>
          <w:sz w:val="32"/>
          <w:szCs w:val="32"/>
        </w:rPr>
      </w:pPr>
      <w:r>
        <w:rPr>
          <w:rFonts w:ascii="仿宋" w:hAnsi="仿宋" w:eastAsia="仿宋"/>
          <w:sz w:val="32"/>
          <w:szCs w:val="32"/>
        </w:rPr>
        <w:t>全球新冠肺炎疫情仍在蔓延，</w:t>
      </w:r>
      <w:r>
        <w:rPr>
          <w:rFonts w:hint="eastAsia" w:ascii="仿宋" w:hAnsi="仿宋" w:eastAsia="仿宋"/>
          <w:sz w:val="32"/>
          <w:szCs w:val="32"/>
        </w:rPr>
        <w:t>节前</w:t>
      </w:r>
      <w:r>
        <w:rPr>
          <w:rFonts w:ascii="仿宋" w:hAnsi="仿宋" w:eastAsia="仿宋"/>
          <w:sz w:val="32"/>
          <w:szCs w:val="32"/>
        </w:rPr>
        <w:t>国内疫情呈多地零星散发性和局部聚集性爆发的交织叠加状态，新冠肺炎疫情防控常态化仍是整个行业需要面对的现实。受疫情防控的影响，人员流动受限，春茶采摘、加工劳动力紧张等因素不可忽视，各地要尽早谋划，因地制宜、精准施策，在落实防疫措施的前提下，做好采茶工和制茶工的组织工作，保证疫情防控和春茶生产两不误。</w:t>
      </w:r>
      <w:r>
        <w:rPr>
          <w:rFonts w:ascii="仿宋" w:hAnsi="仿宋" w:eastAsia="仿宋"/>
          <w:color w:val="000000"/>
          <w:kern w:val="0"/>
          <w:sz w:val="32"/>
          <w:szCs w:val="32"/>
        </w:rPr>
        <w:t>建议茶叶主产地各级政府采取财政税收、金融帮扶、资金补贴等措施，切实扶持茶叶生产经营主体。</w:t>
      </w:r>
      <w:r>
        <w:rPr>
          <w:rFonts w:ascii="仿宋" w:hAnsi="仿宋" w:eastAsia="仿宋"/>
          <w:sz w:val="32"/>
          <w:szCs w:val="32"/>
        </w:rPr>
        <w:t>要密切关注天气状况，充分利用低温政策性保险的作用，采取积极措施防范化解霜冻风险。</w:t>
      </w:r>
    </w:p>
    <w:p>
      <w:pPr>
        <w:ind w:firstLine="640" w:firstLineChars="200"/>
        <w:rPr>
          <w:rFonts w:ascii="仿宋" w:hAnsi="仿宋" w:eastAsia="仿宋"/>
          <w:sz w:val="32"/>
          <w:szCs w:val="32"/>
        </w:rPr>
      </w:pPr>
      <w:r>
        <w:rPr>
          <w:rFonts w:ascii="仿宋" w:hAnsi="仿宋" w:eastAsia="仿宋"/>
          <w:sz w:val="32"/>
          <w:szCs w:val="32"/>
        </w:rPr>
        <w:t>（二）深化“机器换人”，着力提升生产水平</w:t>
      </w:r>
    </w:p>
    <w:p>
      <w:pPr>
        <w:ind w:firstLine="640" w:firstLineChars="200"/>
        <w:rPr>
          <w:rFonts w:ascii="仿宋" w:hAnsi="仿宋" w:eastAsia="仿宋"/>
          <w:sz w:val="32"/>
          <w:szCs w:val="32"/>
        </w:rPr>
      </w:pPr>
      <w:r>
        <w:rPr>
          <w:rFonts w:ascii="仿宋" w:hAnsi="仿宋" w:eastAsia="仿宋"/>
          <w:sz w:val="32"/>
          <w:szCs w:val="32"/>
        </w:rPr>
        <w:t>以全程机械化为目标，以耕作、采摘、加工机械化为当前工作重点。耕作方面，在中耕、覆盖、施肥、植保等方面开展研发、中试、示范、推广工作，完善机械种类，推广“无人机”植保。采摘方面，根据茶类特点和技术成熟度，分层次推进，大宗茶和优质茶以技术提升与普及为主；名茶以试验熟化与示范推广为主。加工方面，根据不同茶区和主体的产品特点与要求，研发和应用连续化、自动化、数字化加工生产线，试点数字化工厂。进一步优化茶叶生产加工机械（设施）购机补贴范围，重点支持连续化生产线，引导茶叶加工产业提升。</w:t>
      </w:r>
    </w:p>
    <w:p>
      <w:pPr>
        <w:ind w:firstLine="640" w:firstLineChars="200"/>
        <w:rPr>
          <w:rFonts w:ascii="仿宋" w:hAnsi="仿宋" w:eastAsia="仿宋"/>
          <w:sz w:val="32"/>
          <w:szCs w:val="32"/>
        </w:rPr>
      </w:pPr>
      <w:r>
        <w:rPr>
          <w:rFonts w:ascii="仿宋" w:hAnsi="仿宋" w:eastAsia="仿宋"/>
          <w:sz w:val="32"/>
          <w:szCs w:val="32"/>
        </w:rPr>
        <w:t>（三）优化品种结构，着力夯实茶园基础</w:t>
      </w:r>
    </w:p>
    <w:p>
      <w:pPr>
        <w:ind w:firstLine="640" w:firstLineChars="200"/>
        <w:rPr>
          <w:rFonts w:ascii="仿宋" w:hAnsi="仿宋" w:eastAsia="仿宋"/>
          <w:sz w:val="32"/>
          <w:szCs w:val="32"/>
        </w:rPr>
      </w:pPr>
      <w:r>
        <w:rPr>
          <w:rFonts w:ascii="仿宋" w:hAnsi="仿宋" w:eastAsia="仿宋"/>
          <w:sz w:val="32"/>
          <w:szCs w:val="32"/>
        </w:rPr>
        <w:t>深化育种科技创新，积极推进育种科研成果转化。推进浙江茶树种质资源库建设，做好地方特色、珍稀品种资源的采集保护与提纯，培育壮大茶树种质繁推一体化企业。以低产低效茶园改造为主要途径实现我省茶树无性系良种比率达到80%左右。优化茶树品种结构，重点是从“以早取胜”向“以质取胜”转变,从单个品种布局向早、中、晚合理搭配转变,适度开发珍稀特色品种，合理保留特色群体品种。深化茶园基础建设，突出标准化、生态化和智慧化，全面增强防灾抗灾能力。推广标准化生产技术，推进绿色生态高质量发展模式。</w:t>
      </w:r>
      <w:r>
        <w:rPr>
          <w:rFonts w:hint="eastAsia" w:ascii="仿宋" w:hAnsi="仿宋" w:eastAsia="仿宋" w:cs="仿宋"/>
          <w:sz w:val="32"/>
          <w:szCs w:val="32"/>
        </w:rPr>
        <w:t>加大对数字化转型支持力度，重点支持5G网络、农业物联网、农业遥感、人工智能、区块链等新型基础设施建设。进</w:t>
      </w:r>
      <w:r>
        <w:rPr>
          <w:rFonts w:ascii="仿宋" w:hAnsi="仿宋" w:eastAsia="仿宋"/>
          <w:sz w:val="32"/>
          <w:szCs w:val="32"/>
        </w:rPr>
        <w:t>一步完善生产档案和质量可追溯制度，推行产品质量标识管理。</w:t>
      </w:r>
    </w:p>
    <w:p>
      <w:pPr>
        <w:ind w:firstLine="640" w:firstLineChars="200"/>
        <w:rPr>
          <w:rFonts w:ascii="仿宋" w:hAnsi="仿宋" w:eastAsia="仿宋"/>
          <w:sz w:val="32"/>
          <w:szCs w:val="32"/>
        </w:rPr>
      </w:pPr>
      <w:r>
        <w:rPr>
          <w:rFonts w:ascii="仿宋" w:hAnsi="仿宋" w:eastAsia="仿宋"/>
          <w:sz w:val="32"/>
          <w:szCs w:val="32"/>
        </w:rPr>
        <w:t>（四）重点培育龙井茶，着力做强优势品牌</w:t>
      </w:r>
    </w:p>
    <w:p>
      <w:pPr>
        <w:ind w:firstLine="640" w:firstLineChars="200"/>
        <w:rPr>
          <w:rFonts w:ascii="仿宋" w:hAnsi="仿宋" w:eastAsia="仿宋"/>
          <w:sz w:val="32"/>
          <w:szCs w:val="32"/>
        </w:rPr>
      </w:pPr>
      <w:r>
        <w:rPr>
          <w:rFonts w:ascii="仿宋" w:hAnsi="仿宋" w:eastAsia="仿宋"/>
          <w:sz w:val="32"/>
          <w:szCs w:val="32"/>
        </w:rPr>
        <w:t>根据市场现状及需求，绿茶仍占绝对主导地位，浙江要坚定不移地走“绿茶强省”之路。名优茶产业仍是我省茶叶保持优势地位的核心产业，要与时俱进地实施新时代品牌化经营战略，做强区域公用品牌和做大龙头企业知名品牌。重点激发“龙井茶”这块浙江名茶金名片的新赋能，重点支持“安吉白茶”“丽水香茶”等强势品牌的做强做大，重点培育浙江抹茶等茶叶精深加工产品新品牌。积极引导茶园流转，推进茶叶专业化分工和组织化协作，促进产业要素向龙头企业（知名品牌）整合集聚，进一步</w:t>
      </w:r>
      <w:r>
        <w:rPr>
          <w:rFonts w:ascii="仿宋" w:hAnsi="仿宋" w:eastAsia="仿宋"/>
          <w:color w:val="000000"/>
          <w:sz w:val="32"/>
          <w:szCs w:val="32"/>
        </w:rPr>
        <w:t>提升龙头企业对产业的带动力。</w:t>
      </w:r>
      <w:r>
        <w:rPr>
          <w:rFonts w:ascii="仿宋" w:hAnsi="仿宋" w:eastAsia="仿宋"/>
          <w:sz w:val="32"/>
          <w:szCs w:val="32"/>
        </w:rPr>
        <w:t>抓住“中国国际茶叶博览会”永久落户杭州的机遇，加大优势品牌推广，扩大产业话语权，提升浙茶品牌在国际国内的整体影响力。</w:t>
      </w:r>
    </w:p>
    <w:p>
      <w:pPr>
        <w:ind w:firstLine="640" w:firstLineChars="200"/>
        <w:rPr>
          <w:rFonts w:ascii="仿宋" w:hAnsi="仿宋" w:eastAsia="仿宋"/>
          <w:sz w:val="32"/>
          <w:szCs w:val="32"/>
        </w:rPr>
      </w:pPr>
      <w:r>
        <w:rPr>
          <w:rFonts w:ascii="仿宋" w:hAnsi="仿宋" w:eastAsia="仿宋"/>
          <w:sz w:val="32"/>
          <w:szCs w:val="32"/>
        </w:rPr>
        <w:t>（五）产业协同发展，着力推动三产融合</w:t>
      </w:r>
    </w:p>
    <w:p>
      <w:pPr>
        <w:ind w:firstLine="640" w:firstLineChars="200"/>
        <w:rPr>
          <w:rFonts w:ascii="仿宋" w:hAnsi="仿宋" w:eastAsia="仿宋"/>
          <w:sz w:val="32"/>
          <w:szCs w:val="32"/>
        </w:rPr>
      </w:pPr>
      <w:r>
        <w:rPr>
          <w:rFonts w:ascii="仿宋" w:hAnsi="仿宋" w:eastAsia="仿宋"/>
          <w:sz w:val="32"/>
          <w:szCs w:val="32"/>
        </w:rPr>
        <w:t>以全产业链协同发展理念，推进产业与文化、旅游三位一体，生产、生活和生态三生融合发展，延长产业链、完善供应链、提升价值链，引导推进茶叶全产业链发展。推进“农头工尾”，支持发展茶叶初制和精深加工园区，重点扶持龙头企业推进精深加工产品产业化。引导提升一批茶主题特色小镇，建成一批茶庄园、茶博园、茶主题公园，持续推进茶产业与现代物流、电子商务、总部经济与品牌会展融合发展。</w:t>
      </w:r>
    </w:p>
    <w:p>
      <w:pPr>
        <w:ind w:firstLine="640" w:firstLineChars="200"/>
        <w:rPr>
          <w:rFonts w:ascii="仿宋" w:hAnsi="仿宋" w:eastAsia="仿宋"/>
          <w:sz w:val="32"/>
          <w:szCs w:val="32"/>
        </w:rPr>
      </w:pPr>
      <w:r>
        <w:rPr>
          <w:rFonts w:ascii="仿宋" w:hAnsi="仿宋" w:eastAsia="仿宋"/>
          <w:sz w:val="32"/>
          <w:szCs w:val="32"/>
        </w:rPr>
        <w:t>（六）多渠道谋推广，着力拓宽国内外市场</w:t>
      </w:r>
    </w:p>
    <w:p>
      <w:pPr>
        <w:ind w:firstLine="640" w:firstLineChars="200"/>
        <w:rPr>
          <w:rFonts w:ascii="仿宋" w:hAnsi="仿宋" w:eastAsia="仿宋"/>
          <w:sz w:val="32"/>
          <w:szCs w:val="32"/>
        </w:rPr>
      </w:pPr>
      <w:r>
        <w:rPr>
          <w:rFonts w:hint="eastAsia" w:ascii="仿宋" w:hAnsi="仿宋" w:eastAsia="仿宋" w:cs="仿宋"/>
          <w:sz w:val="32"/>
          <w:szCs w:val="32"/>
        </w:rPr>
        <w:t>要按照中央推动形成以国内大循环为主体、国内国际双循环相互促进的新发展要求，积极</w:t>
      </w:r>
      <w:r>
        <w:rPr>
          <w:rFonts w:ascii="仿宋" w:hAnsi="仿宋" w:eastAsia="仿宋"/>
          <w:sz w:val="32"/>
          <w:szCs w:val="32"/>
        </w:rPr>
        <w:t>谋划推广活动线上线下相结合，</w:t>
      </w:r>
      <w:r>
        <w:rPr>
          <w:rFonts w:ascii="仿宋" w:hAnsi="仿宋" w:eastAsia="仿宋"/>
          <w:color w:val="000000"/>
          <w:kern w:val="0"/>
          <w:sz w:val="32"/>
          <w:szCs w:val="32"/>
        </w:rPr>
        <w:t>要充分利用淘宝、天猫、京东、微信、唯品会、抖音、快手等平台以及自媒体公众号、开通线上直播带货等不同电商模式来拉动更多的大众消费。行业主管部门要重视建立健全网上交易服务和监管平台，鼓励扶持经营模式创新。进一步提升打造网</w:t>
      </w:r>
      <w:r>
        <w:rPr>
          <w:rFonts w:hint="eastAsia" w:ascii="仿宋" w:hAnsi="仿宋" w:eastAsia="仿宋" w:cs="仿宋"/>
          <w:sz w:val="32"/>
          <w:szCs w:val="32"/>
        </w:rPr>
        <w:t>上茶博会、网购春茶节等线上推广活动，鼓励企业参加线上国际茶叶（食品）展会，千方百计稳住茶叶出口贸易，努力拓展国内国际两个市场。</w:t>
      </w:r>
    </w:p>
    <w:p>
      <w:pPr>
        <w:ind w:firstLine="640" w:firstLineChars="200"/>
        <w:rPr>
          <w:rFonts w:ascii="仿宋" w:hAnsi="仿宋" w:eastAsia="仿宋"/>
          <w:sz w:val="32"/>
          <w:szCs w:val="32"/>
        </w:rPr>
      </w:pPr>
      <w:r>
        <w:rPr>
          <w:rFonts w:ascii="仿宋" w:hAnsi="仿宋" w:eastAsia="仿宋"/>
          <w:sz w:val="32"/>
          <w:szCs w:val="32"/>
        </w:rPr>
        <w:t>（七）加强人才队伍建设，着力强化科技支撑</w:t>
      </w:r>
    </w:p>
    <w:p>
      <w:pPr>
        <w:ind w:firstLine="640" w:firstLineChars="200"/>
        <w:rPr>
          <w:rFonts w:ascii="仿宋" w:hAnsi="仿宋" w:eastAsia="仿宋"/>
          <w:sz w:val="32"/>
          <w:szCs w:val="32"/>
        </w:rPr>
      </w:pPr>
      <w:r>
        <w:rPr>
          <w:rFonts w:ascii="仿宋" w:hAnsi="仿宋" w:eastAsia="仿宋"/>
          <w:sz w:val="32"/>
          <w:szCs w:val="32"/>
        </w:rPr>
        <w:t>健全基层茶叶技术推广体系，依托省、市、县各级茶叶技术创新与推广服务团队，在名优茶机采、连续化加工、茶资源综合利用、茶树良种选育推广、生态高效栽培和数字化智慧化升级等方面开展协同攻关和示范推广。深入推进职业茶农技能培训，鼓励“茶二代”等农创客培育，支持开展师父带徒弟式的精准培养，提高从业人员素质，营造“后继有人”的良好氛围。</w:t>
      </w:r>
    </w:p>
    <w:p>
      <w:pPr>
        <w:ind w:firstLine="640" w:firstLineChars="200"/>
        <w:rPr>
          <w:rFonts w:ascii="仿宋" w:eastAsia="仿宋" w:cs="仿宋"/>
          <w:sz w:val="32"/>
          <w:szCs w:val="32"/>
        </w:rPr>
      </w:pPr>
    </w:p>
    <w:p>
      <w:pPr>
        <w:ind w:firstLine="640" w:firstLineChars="200"/>
        <w:rPr>
          <w:rFonts w:ascii="仿宋" w:eastAsia="仿宋" w:cs="仿宋"/>
          <w:sz w:val="32"/>
          <w:szCs w:val="32"/>
        </w:rPr>
      </w:pPr>
    </w:p>
    <w:p>
      <w:pPr>
        <w:ind w:firstLine="640" w:firstLineChars="200"/>
        <w:rPr>
          <w:rFonts w:ascii="仿宋" w:eastAsia="仿宋" w:cs="仿宋"/>
          <w:sz w:val="32"/>
          <w:szCs w:val="32"/>
        </w:rPr>
      </w:pPr>
    </w:p>
    <w:p>
      <w:pPr>
        <w:ind w:firstLine="640" w:firstLineChars="200"/>
        <w:rPr>
          <w:rFonts w:ascii="仿宋" w:eastAsia="仿宋" w:cs="仿宋"/>
          <w:sz w:val="32"/>
          <w:szCs w:val="32"/>
        </w:rPr>
      </w:pPr>
    </w:p>
    <w:p>
      <w:pPr>
        <w:pStyle w:val="8"/>
        <w:spacing w:line="500" w:lineRule="exact"/>
        <w:ind w:right="235" w:rightChars="112" w:firstLine="640" w:firstLineChars="200"/>
        <w:rPr>
          <w:rFonts w:ascii="仿宋" w:hAnsi="仿宋_GB2312" w:eastAsia="仿宋" w:cs="仿宋"/>
          <w:szCs w:val="32"/>
        </w:rPr>
      </w:pPr>
      <w:r>
        <w:rPr>
          <w:rFonts w:hint="eastAsia" w:ascii="仿宋" w:hAnsi="仿宋_GB2312" w:eastAsia="仿宋" w:cs="仿宋"/>
          <w:szCs w:val="32"/>
        </w:rPr>
        <w:t>报：程渭山、陈宗懋名誉会长，省农业农村厅、省社会组织综合党委</w:t>
      </w:r>
    </w:p>
    <w:p>
      <w:pPr>
        <w:pStyle w:val="8"/>
        <w:spacing w:line="500" w:lineRule="exact"/>
        <w:ind w:right="235" w:rightChars="112" w:firstLine="640" w:firstLineChars="200"/>
        <w:rPr>
          <w:rFonts w:ascii="仿宋" w:hAnsi="仿宋_GB2312" w:eastAsia="仿宋" w:cs="仿宋"/>
          <w:szCs w:val="32"/>
        </w:rPr>
      </w:pPr>
      <w:r>
        <w:rPr>
          <w:rFonts w:hint="eastAsia" w:ascii="仿宋" w:hAnsi="仿宋_GB2312" w:eastAsia="仿宋" w:cs="仿宋"/>
          <w:szCs w:val="32"/>
        </w:rPr>
        <w:t>送：会长、副会长、秘书长、副秘书长</w:t>
      </w:r>
    </w:p>
    <w:p>
      <w:pPr>
        <w:spacing w:line="500" w:lineRule="exact"/>
        <w:ind w:right="235" w:rightChars="112" w:firstLine="640" w:firstLineChars="200"/>
        <w:jc w:val="left"/>
        <w:rPr>
          <w:rFonts w:ascii="仿宋" w:hAnsi="仿宋_GB2312" w:eastAsia="仿宋" w:cs="仿宋"/>
          <w:sz w:val="32"/>
          <w:szCs w:val="32"/>
        </w:rPr>
      </w:pPr>
      <w:r>
        <w:rPr>
          <w:rFonts w:hint="eastAsia" w:ascii="仿宋" w:hAnsi="仿宋_GB2312" w:eastAsia="仿宋" w:cs="仿宋"/>
          <w:sz w:val="32"/>
          <w:szCs w:val="32"/>
        </w:rPr>
        <w:t>发：会员单位及相关单位</w:t>
      </w:r>
    </w:p>
    <w:p>
      <w:pPr>
        <w:ind w:right="239" w:rightChars="114"/>
        <w:jc w:val="left"/>
        <w:rPr>
          <w:rFonts w:hint="eastAsia" w:ascii="仿宋_GB2312" w:hAnsi="仿宋_GB2312" w:eastAsia="仿宋_GB2312" w:cs="仿宋_GB2312"/>
          <w:sz w:val="30"/>
          <w:szCs w:val="30"/>
        </w:rPr>
      </w:pPr>
    </w:p>
    <w:sectPr>
      <w:footerReference r:id="rId3" w:type="default"/>
      <w:pgSz w:w="11906" w:h="16838"/>
      <w:pgMar w:top="1553"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2123360"/>
      <w:docPartObj>
        <w:docPartGallery w:val="autotext"/>
      </w:docPartObj>
    </w:sdtPr>
    <w:sdtContent>
      <w:p>
        <w:pPr>
          <w:pStyle w:val="6"/>
          <w:jc w:val="center"/>
        </w:pPr>
        <w:r>
          <w:fldChar w:fldCharType="begin"/>
        </w:r>
        <w:r>
          <w:instrText xml:space="preserve"> PAGE   \* MERGEFORMAT </w:instrText>
        </w:r>
        <w:r>
          <w:fldChar w:fldCharType="separate"/>
        </w:r>
        <w:r>
          <w:rPr>
            <w:lang w:val="zh-CN"/>
          </w:rPr>
          <w:t>44</w:t>
        </w:r>
        <w:r>
          <w:rPr>
            <w:lang w:val="zh-CN"/>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07129"/>
    <w:rsid w:val="00000E81"/>
    <w:rsid w:val="00001E3E"/>
    <w:rsid w:val="0000203F"/>
    <w:rsid w:val="0000355D"/>
    <w:rsid w:val="00014ECB"/>
    <w:rsid w:val="000170CD"/>
    <w:rsid w:val="00021FBE"/>
    <w:rsid w:val="000244D4"/>
    <w:rsid w:val="00024DD0"/>
    <w:rsid w:val="00025389"/>
    <w:rsid w:val="00026A2B"/>
    <w:rsid w:val="00027B7D"/>
    <w:rsid w:val="00031594"/>
    <w:rsid w:val="00032F8F"/>
    <w:rsid w:val="00034A15"/>
    <w:rsid w:val="0004028A"/>
    <w:rsid w:val="000409C3"/>
    <w:rsid w:val="000417AE"/>
    <w:rsid w:val="00046AB2"/>
    <w:rsid w:val="00051CB8"/>
    <w:rsid w:val="00053377"/>
    <w:rsid w:val="000540F5"/>
    <w:rsid w:val="00056369"/>
    <w:rsid w:val="000576E5"/>
    <w:rsid w:val="000611DA"/>
    <w:rsid w:val="00063B12"/>
    <w:rsid w:val="00065E78"/>
    <w:rsid w:val="00065F75"/>
    <w:rsid w:val="000708D0"/>
    <w:rsid w:val="00070976"/>
    <w:rsid w:val="000718DE"/>
    <w:rsid w:val="000718FD"/>
    <w:rsid w:val="00071F88"/>
    <w:rsid w:val="0007252D"/>
    <w:rsid w:val="0008042E"/>
    <w:rsid w:val="000820C9"/>
    <w:rsid w:val="00085215"/>
    <w:rsid w:val="00085E48"/>
    <w:rsid w:val="00086D60"/>
    <w:rsid w:val="00086EC1"/>
    <w:rsid w:val="00087229"/>
    <w:rsid w:val="000876FA"/>
    <w:rsid w:val="00087B1E"/>
    <w:rsid w:val="00090E70"/>
    <w:rsid w:val="00092C9D"/>
    <w:rsid w:val="00093D24"/>
    <w:rsid w:val="00093EDF"/>
    <w:rsid w:val="00094437"/>
    <w:rsid w:val="00094460"/>
    <w:rsid w:val="00094F9A"/>
    <w:rsid w:val="000953F2"/>
    <w:rsid w:val="00096D86"/>
    <w:rsid w:val="000A1B71"/>
    <w:rsid w:val="000A2FFB"/>
    <w:rsid w:val="000B1B06"/>
    <w:rsid w:val="000B4447"/>
    <w:rsid w:val="000B58C9"/>
    <w:rsid w:val="000C0182"/>
    <w:rsid w:val="000C083D"/>
    <w:rsid w:val="000C34BA"/>
    <w:rsid w:val="000C51F7"/>
    <w:rsid w:val="000C5DF0"/>
    <w:rsid w:val="000C5FB4"/>
    <w:rsid w:val="000C6585"/>
    <w:rsid w:val="000C6595"/>
    <w:rsid w:val="000C7838"/>
    <w:rsid w:val="000D35A2"/>
    <w:rsid w:val="000D4C95"/>
    <w:rsid w:val="000D56DF"/>
    <w:rsid w:val="000E0AD2"/>
    <w:rsid w:val="000E2AC6"/>
    <w:rsid w:val="000E2D53"/>
    <w:rsid w:val="000E3681"/>
    <w:rsid w:val="000E6409"/>
    <w:rsid w:val="000E6585"/>
    <w:rsid w:val="000F38C6"/>
    <w:rsid w:val="000F575D"/>
    <w:rsid w:val="000F605B"/>
    <w:rsid w:val="00105FF4"/>
    <w:rsid w:val="0010691F"/>
    <w:rsid w:val="00107F09"/>
    <w:rsid w:val="00112017"/>
    <w:rsid w:val="00113ED6"/>
    <w:rsid w:val="0011429D"/>
    <w:rsid w:val="001155E1"/>
    <w:rsid w:val="00125354"/>
    <w:rsid w:val="001254DC"/>
    <w:rsid w:val="001313DE"/>
    <w:rsid w:val="00133427"/>
    <w:rsid w:val="0013424E"/>
    <w:rsid w:val="0013449C"/>
    <w:rsid w:val="0013564C"/>
    <w:rsid w:val="00137D93"/>
    <w:rsid w:val="00140774"/>
    <w:rsid w:val="00144C74"/>
    <w:rsid w:val="00145CC9"/>
    <w:rsid w:val="00145E2E"/>
    <w:rsid w:val="00147A22"/>
    <w:rsid w:val="0015049D"/>
    <w:rsid w:val="00152A6F"/>
    <w:rsid w:val="00152D59"/>
    <w:rsid w:val="001542BE"/>
    <w:rsid w:val="00154E05"/>
    <w:rsid w:val="0016225E"/>
    <w:rsid w:val="00163C7E"/>
    <w:rsid w:val="0016443F"/>
    <w:rsid w:val="001645FA"/>
    <w:rsid w:val="00165D63"/>
    <w:rsid w:val="00166766"/>
    <w:rsid w:val="00167043"/>
    <w:rsid w:val="001670CE"/>
    <w:rsid w:val="0016791C"/>
    <w:rsid w:val="001679E5"/>
    <w:rsid w:val="00170CB8"/>
    <w:rsid w:val="00171ECE"/>
    <w:rsid w:val="0017369C"/>
    <w:rsid w:val="00174835"/>
    <w:rsid w:val="00175266"/>
    <w:rsid w:val="00180E0E"/>
    <w:rsid w:val="00180EE1"/>
    <w:rsid w:val="001811B7"/>
    <w:rsid w:val="00183AC0"/>
    <w:rsid w:val="00186549"/>
    <w:rsid w:val="00187C07"/>
    <w:rsid w:val="00193245"/>
    <w:rsid w:val="00193359"/>
    <w:rsid w:val="001A2843"/>
    <w:rsid w:val="001A374E"/>
    <w:rsid w:val="001B0841"/>
    <w:rsid w:val="001B0ECD"/>
    <w:rsid w:val="001B3D62"/>
    <w:rsid w:val="001B53D6"/>
    <w:rsid w:val="001B7642"/>
    <w:rsid w:val="001C1CD4"/>
    <w:rsid w:val="001C2C20"/>
    <w:rsid w:val="001C2E7E"/>
    <w:rsid w:val="001C3010"/>
    <w:rsid w:val="001C3603"/>
    <w:rsid w:val="001C3CD6"/>
    <w:rsid w:val="001C4EA3"/>
    <w:rsid w:val="001C6BD7"/>
    <w:rsid w:val="001C750C"/>
    <w:rsid w:val="001D2B86"/>
    <w:rsid w:val="001D42FB"/>
    <w:rsid w:val="001D4854"/>
    <w:rsid w:val="001D7317"/>
    <w:rsid w:val="001E230C"/>
    <w:rsid w:val="001E355D"/>
    <w:rsid w:val="001E41DB"/>
    <w:rsid w:val="001F00A9"/>
    <w:rsid w:val="001F21A3"/>
    <w:rsid w:val="001F2554"/>
    <w:rsid w:val="001F3193"/>
    <w:rsid w:val="001F43A8"/>
    <w:rsid w:val="001F4CBE"/>
    <w:rsid w:val="001F78A6"/>
    <w:rsid w:val="00200F95"/>
    <w:rsid w:val="00204A4D"/>
    <w:rsid w:val="002056FF"/>
    <w:rsid w:val="00210D2C"/>
    <w:rsid w:val="0021646D"/>
    <w:rsid w:val="00217787"/>
    <w:rsid w:val="00220522"/>
    <w:rsid w:val="00222BC5"/>
    <w:rsid w:val="002233A6"/>
    <w:rsid w:val="00225E9E"/>
    <w:rsid w:val="0023148F"/>
    <w:rsid w:val="00240550"/>
    <w:rsid w:val="0024332D"/>
    <w:rsid w:val="00243C78"/>
    <w:rsid w:val="00245616"/>
    <w:rsid w:val="0024569F"/>
    <w:rsid w:val="002456F6"/>
    <w:rsid w:val="00251EC7"/>
    <w:rsid w:val="002562E5"/>
    <w:rsid w:val="0025684A"/>
    <w:rsid w:val="00260C89"/>
    <w:rsid w:val="002620BB"/>
    <w:rsid w:val="00262F13"/>
    <w:rsid w:val="002630F9"/>
    <w:rsid w:val="002734FC"/>
    <w:rsid w:val="00274698"/>
    <w:rsid w:val="00274764"/>
    <w:rsid w:val="00275828"/>
    <w:rsid w:val="00276ED2"/>
    <w:rsid w:val="00280B81"/>
    <w:rsid w:val="00280DE6"/>
    <w:rsid w:val="00281BC0"/>
    <w:rsid w:val="00283DCB"/>
    <w:rsid w:val="0028577E"/>
    <w:rsid w:val="002911B6"/>
    <w:rsid w:val="002A0F56"/>
    <w:rsid w:val="002A1E49"/>
    <w:rsid w:val="002A2AC5"/>
    <w:rsid w:val="002A2DF1"/>
    <w:rsid w:val="002A5CA7"/>
    <w:rsid w:val="002A60CA"/>
    <w:rsid w:val="002A6717"/>
    <w:rsid w:val="002A6AA9"/>
    <w:rsid w:val="002B2748"/>
    <w:rsid w:val="002B6712"/>
    <w:rsid w:val="002B7620"/>
    <w:rsid w:val="002C01B6"/>
    <w:rsid w:val="002C2784"/>
    <w:rsid w:val="002C33E4"/>
    <w:rsid w:val="002C34D8"/>
    <w:rsid w:val="002C5060"/>
    <w:rsid w:val="002C55B9"/>
    <w:rsid w:val="002C6FAD"/>
    <w:rsid w:val="002D0109"/>
    <w:rsid w:val="002D2E93"/>
    <w:rsid w:val="002D7835"/>
    <w:rsid w:val="002E3291"/>
    <w:rsid w:val="002E425D"/>
    <w:rsid w:val="002E5210"/>
    <w:rsid w:val="002E539E"/>
    <w:rsid w:val="002E53AE"/>
    <w:rsid w:val="002E6125"/>
    <w:rsid w:val="002F27E9"/>
    <w:rsid w:val="002F34CF"/>
    <w:rsid w:val="002F52D1"/>
    <w:rsid w:val="002F7EB8"/>
    <w:rsid w:val="0030077A"/>
    <w:rsid w:val="00301305"/>
    <w:rsid w:val="003024CA"/>
    <w:rsid w:val="003028CD"/>
    <w:rsid w:val="00302F18"/>
    <w:rsid w:val="00303D7B"/>
    <w:rsid w:val="003045CA"/>
    <w:rsid w:val="00304F5F"/>
    <w:rsid w:val="00305D43"/>
    <w:rsid w:val="00306CA0"/>
    <w:rsid w:val="00307531"/>
    <w:rsid w:val="003102B8"/>
    <w:rsid w:val="0031036F"/>
    <w:rsid w:val="0031482F"/>
    <w:rsid w:val="00316C42"/>
    <w:rsid w:val="00320D73"/>
    <w:rsid w:val="00320F5E"/>
    <w:rsid w:val="00321939"/>
    <w:rsid w:val="00324EAC"/>
    <w:rsid w:val="00324F18"/>
    <w:rsid w:val="00325271"/>
    <w:rsid w:val="00326C67"/>
    <w:rsid w:val="003278DA"/>
    <w:rsid w:val="003279E2"/>
    <w:rsid w:val="00330087"/>
    <w:rsid w:val="00332870"/>
    <w:rsid w:val="003364D9"/>
    <w:rsid w:val="00337A73"/>
    <w:rsid w:val="00343A56"/>
    <w:rsid w:val="00343A85"/>
    <w:rsid w:val="00344449"/>
    <w:rsid w:val="00344F32"/>
    <w:rsid w:val="003455BE"/>
    <w:rsid w:val="00347441"/>
    <w:rsid w:val="003479DC"/>
    <w:rsid w:val="00347D4A"/>
    <w:rsid w:val="0035046A"/>
    <w:rsid w:val="003507DE"/>
    <w:rsid w:val="0035497D"/>
    <w:rsid w:val="00355B1B"/>
    <w:rsid w:val="003577F5"/>
    <w:rsid w:val="00361640"/>
    <w:rsid w:val="00364630"/>
    <w:rsid w:val="0037658C"/>
    <w:rsid w:val="00383EEF"/>
    <w:rsid w:val="00384754"/>
    <w:rsid w:val="00387DB3"/>
    <w:rsid w:val="003911B0"/>
    <w:rsid w:val="00391FFB"/>
    <w:rsid w:val="0039315A"/>
    <w:rsid w:val="00393415"/>
    <w:rsid w:val="00393E55"/>
    <w:rsid w:val="00394BE6"/>
    <w:rsid w:val="003A1A03"/>
    <w:rsid w:val="003A256C"/>
    <w:rsid w:val="003A43A1"/>
    <w:rsid w:val="003A4643"/>
    <w:rsid w:val="003A55ED"/>
    <w:rsid w:val="003A6E40"/>
    <w:rsid w:val="003B186B"/>
    <w:rsid w:val="003B3189"/>
    <w:rsid w:val="003B35B6"/>
    <w:rsid w:val="003B4FED"/>
    <w:rsid w:val="003B695E"/>
    <w:rsid w:val="003C1466"/>
    <w:rsid w:val="003C19DB"/>
    <w:rsid w:val="003C253B"/>
    <w:rsid w:val="003C27E1"/>
    <w:rsid w:val="003C283C"/>
    <w:rsid w:val="003C3D29"/>
    <w:rsid w:val="003C49E6"/>
    <w:rsid w:val="003C5540"/>
    <w:rsid w:val="003C6176"/>
    <w:rsid w:val="003D0217"/>
    <w:rsid w:val="003D4657"/>
    <w:rsid w:val="003D5AC7"/>
    <w:rsid w:val="003E3CBB"/>
    <w:rsid w:val="003E6FDC"/>
    <w:rsid w:val="003F036E"/>
    <w:rsid w:val="003F4BAB"/>
    <w:rsid w:val="003F6575"/>
    <w:rsid w:val="0040198F"/>
    <w:rsid w:val="00402250"/>
    <w:rsid w:val="004022F1"/>
    <w:rsid w:val="00402E08"/>
    <w:rsid w:val="00402FA6"/>
    <w:rsid w:val="00404558"/>
    <w:rsid w:val="00404B54"/>
    <w:rsid w:val="00407129"/>
    <w:rsid w:val="00411E4B"/>
    <w:rsid w:val="00412D4A"/>
    <w:rsid w:val="0041442D"/>
    <w:rsid w:val="004164A1"/>
    <w:rsid w:val="004229F7"/>
    <w:rsid w:val="00432544"/>
    <w:rsid w:val="004325CB"/>
    <w:rsid w:val="00432909"/>
    <w:rsid w:val="00433D66"/>
    <w:rsid w:val="00436AED"/>
    <w:rsid w:val="00440158"/>
    <w:rsid w:val="00442F12"/>
    <w:rsid w:val="004431CA"/>
    <w:rsid w:val="00443209"/>
    <w:rsid w:val="00443753"/>
    <w:rsid w:val="00443948"/>
    <w:rsid w:val="004440B1"/>
    <w:rsid w:val="004517C5"/>
    <w:rsid w:val="004550B4"/>
    <w:rsid w:val="00457176"/>
    <w:rsid w:val="00462B83"/>
    <w:rsid w:val="00463AC4"/>
    <w:rsid w:val="0046664D"/>
    <w:rsid w:val="00466932"/>
    <w:rsid w:val="00471DF9"/>
    <w:rsid w:val="00473342"/>
    <w:rsid w:val="00473EB7"/>
    <w:rsid w:val="00475521"/>
    <w:rsid w:val="0048082A"/>
    <w:rsid w:val="0048185B"/>
    <w:rsid w:val="00481AB8"/>
    <w:rsid w:val="004828FB"/>
    <w:rsid w:val="00483F99"/>
    <w:rsid w:val="00484297"/>
    <w:rsid w:val="00486043"/>
    <w:rsid w:val="00487212"/>
    <w:rsid w:val="00492155"/>
    <w:rsid w:val="00493839"/>
    <w:rsid w:val="00495D39"/>
    <w:rsid w:val="00497116"/>
    <w:rsid w:val="004A3EEB"/>
    <w:rsid w:val="004A4CEF"/>
    <w:rsid w:val="004A5F74"/>
    <w:rsid w:val="004B1221"/>
    <w:rsid w:val="004B4F59"/>
    <w:rsid w:val="004B5604"/>
    <w:rsid w:val="004B7FCD"/>
    <w:rsid w:val="004C36E0"/>
    <w:rsid w:val="004C5D66"/>
    <w:rsid w:val="004C65BD"/>
    <w:rsid w:val="004C7516"/>
    <w:rsid w:val="004C7F43"/>
    <w:rsid w:val="004D07C1"/>
    <w:rsid w:val="004D3F7C"/>
    <w:rsid w:val="004D4AA4"/>
    <w:rsid w:val="004D75AF"/>
    <w:rsid w:val="004E08B9"/>
    <w:rsid w:val="004E0AEB"/>
    <w:rsid w:val="004E2401"/>
    <w:rsid w:val="004E2DD1"/>
    <w:rsid w:val="004E3B0A"/>
    <w:rsid w:val="004E41E5"/>
    <w:rsid w:val="004E5A50"/>
    <w:rsid w:val="004E5CC6"/>
    <w:rsid w:val="004E66F4"/>
    <w:rsid w:val="004E7761"/>
    <w:rsid w:val="004F00A7"/>
    <w:rsid w:val="004F05E7"/>
    <w:rsid w:val="004F0CA6"/>
    <w:rsid w:val="004F5561"/>
    <w:rsid w:val="004F5869"/>
    <w:rsid w:val="005013EB"/>
    <w:rsid w:val="005014C3"/>
    <w:rsid w:val="00503DAB"/>
    <w:rsid w:val="00507526"/>
    <w:rsid w:val="00515FE6"/>
    <w:rsid w:val="0052057F"/>
    <w:rsid w:val="00524413"/>
    <w:rsid w:val="0052441F"/>
    <w:rsid w:val="00525B97"/>
    <w:rsid w:val="005308E9"/>
    <w:rsid w:val="00536313"/>
    <w:rsid w:val="00537F8A"/>
    <w:rsid w:val="005409ED"/>
    <w:rsid w:val="00540D04"/>
    <w:rsid w:val="005410C7"/>
    <w:rsid w:val="005507E5"/>
    <w:rsid w:val="00553331"/>
    <w:rsid w:val="00553536"/>
    <w:rsid w:val="0055496C"/>
    <w:rsid w:val="00561A1B"/>
    <w:rsid w:val="00561DDB"/>
    <w:rsid w:val="00563B80"/>
    <w:rsid w:val="00564793"/>
    <w:rsid w:val="005662E2"/>
    <w:rsid w:val="0057037C"/>
    <w:rsid w:val="00571674"/>
    <w:rsid w:val="00571952"/>
    <w:rsid w:val="005722C6"/>
    <w:rsid w:val="00573CD1"/>
    <w:rsid w:val="0057475A"/>
    <w:rsid w:val="00575B9D"/>
    <w:rsid w:val="0057727B"/>
    <w:rsid w:val="00577CE9"/>
    <w:rsid w:val="00577E3C"/>
    <w:rsid w:val="00581AE2"/>
    <w:rsid w:val="00584099"/>
    <w:rsid w:val="00584D01"/>
    <w:rsid w:val="005861D6"/>
    <w:rsid w:val="00586593"/>
    <w:rsid w:val="00586E26"/>
    <w:rsid w:val="005939B6"/>
    <w:rsid w:val="00594C73"/>
    <w:rsid w:val="00594DAD"/>
    <w:rsid w:val="00596641"/>
    <w:rsid w:val="00596C96"/>
    <w:rsid w:val="00596F8B"/>
    <w:rsid w:val="005A2FC1"/>
    <w:rsid w:val="005A3B3B"/>
    <w:rsid w:val="005A4CCD"/>
    <w:rsid w:val="005A4F58"/>
    <w:rsid w:val="005A55B5"/>
    <w:rsid w:val="005B20C7"/>
    <w:rsid w:val="005B31C8"/>
    <w:rsid w:val="005B4989"/>
    <w:rsid w:val="005C671A"/>
    <w:rsid w:val="005C703D"/>
    <w:rsid w:val="005D199F"/>
    <w:rsid w:val="005D2AB4"/>
    <w:rsid w:val="005E12F9"/>
    <w:rsid w:val="005E35FD"/>
    <w:rsid w:val="005E3B0A"/>
    <w:rsid w:val="005E6084"/>
    <w:rsid w:val="005F4CDF"/>
    <w:rsid w:val="005F5845"/>
    <w:rsid w:val="005F6F15"/>
    <w:rsid w:val="00602203"/>
    <w:rsid w:val="00602F90"/>
    <w:rsid w:val="00604489"/>
    <w:rsid w:val="006057EC"/>
    <w:rsid w:val="006063CF"/>
    <w:rsid w:val="0061236E"/>
    <w:rsid w:val="006130D4"/>
    <w:rsid w:val="006138B1"/>
    <w:rsid w:val="00613946"/>
    <w:rsid w:val="00616854"/>
    <w:rsid w:val="00617674"/>
    <w:rsid w:val="006206B0"/>
    <w:rsid w:val="006253A3"/>
    <w:rsid w:val="00627903"/>
    <w:rsid w:val="00632C88"/>
    <w:rsid w:val="0063470D"/>
    <w:rsid w:val="00636F53"/>
    <w:rsid w:val="0064560E"/>
    <w:rsid w:val="00645EBB"/>
    <w:rsid w:val="0064757C"/>
    <w:rsid w:val="00647A95"/>
    <w:rsid w:val="00652E86"/>
    <w:rsid w:val="00654E4C"/>
    <w:rsid w:val="00655621"/>
    <w:rsid w:val="00661A8B"/>
    <w:rsid w:val="006631E1"/>
    <w:rsid w:val="0066350B"/>
    <w:rsid w:val="00663D07"/>
    <w:rsid w:val="006651BD"/>
    <w:rsid w:val="00667B17"/>
    <w:rsid w:val="0067161F"/>
    <w:rsid w:val="00672A31"/>
    <w:rsid w:val="00672B34"/>
    <w:rsid w:val="00673D11"/>
    <w:rsid w:val="00673D62"/>
    <w:rsid w:val="0067569B"/>
    <w:rsid w:val="00675B92"/>
    <w:rsid w:val="00676A4E"/>
    <w:rsid w:val="00677F0E"/>
    <w:rsid w:val="006804D7"/>
    <w:rsid w:val="00681EF1"/>
    <w:rsid w:val="00683E25"/>
    <w:rsid w:val="00685D7E"/>
    <w:rsid w:val="006862BF"/>
    <w:rsid w:val="0069125A"/>
    <w:rsid w:val="00693673"/>
    <w:rsid w:val="00693EB5"/>
    <w:rsid w:val="00696D01"/>
    <w:rsid w:val="00696DA4"/>
    <w:rsid w:val="006978BE"/>
    <w:rsid w:val="006A39A6"/>
    <w:rsid w:val="006A5630"/>
    <w:rsid w:val="006A653E"/>
    <w:rsid w:val="006B2C20"/>
    <w:rsid w:val="006B4705"/>
    <w:rsid w:val="006B646E"/>
    <w:rsid w:val="006C2C02"/>
    <w:rsid w:val="006C3E18"/>
    <w:rsid w:val="006D04A6"/>
    <w:rsid w:val="006D0849"/>
    <w:rsid w:val="006D097E"/>
    <w:rsid w:val="006D10CC"/>
    <w:rsid w:val="006D434C"/>
    <w:rsid w:val="006D5BF1"/>
    <w:rsid w:val="006D7E29"/>
    <w:rsid w:val="006E19E0"/>
    <w:rsid w:val="006E21D5"/>
    <w:rsid w:val="006E3C3B"/>
    <w:rsid w:val="006E4C54"/>
    <w:rsid w:val="006F3BE2"/>
    <w:rsid w:val="006F4660"/>
    <w:rsid w:val="006F7592"/>
    <w:rsid w:val="00701721"/>
    <w:rsid w:val="00703AC1"/>
    <w:rsid w:val="00703B2A"/>
    <w:rsid w:val="007058F8"/>
    <w:rsid w:val="00705E61"/>
    <w:rsid w:val="00711AFE"/>
    <w:rsid w:val="00711CB0"/>
    <w:rsid w:val="00712724"/>
    <w:rsid w:val="00713880"/>
    <w:rsid w:val="00716159"/>
    <w:rsid w:val="0071701D"/>
    <w:rsid w:val="00717069"/>
    <w:rsid w:val="00717F84"/>
    <w:rsid w:val="007226D8"/>
    <w:rsid w:val="00722E46"/>
    <w:rsid w:val="0072520A"/>
    <w:rsid w:val="007252F7"/>
    <w:rsid w:val="00725A53"/>
    <w:rsid w:val="00725D57"/>
    <w:rsid w:val="00725D83"/>
    <w:rsid w:val="00726107"/>
    <w:rsid w:val="00726B88"/>
    <w:rsid w:val="007277E1"/>
    <w:rsid w:val="00727C90"/>
    <w:rsid w:val="00727FB6"/>
    <w:rsid w:val="00730A73"/>
    <w:rsid w:val="00731DF0"/>
    <w:rsid w:val="0073264F"/>
    <w:rsid w:val="007341C2"/>
    <w:rsid w:val="00735030"/>
    <w:rsid w:val="00735EF8"/>
    <w:rsid w:val="00736F32"/>
    <w:rsid w:val="00740511"/>
    <w:rsid w:val="00740890"/>
    <w:rsid w:val="00741266"/>
    <w:rsid w:val="00741BBF"/>
    <w:rsid w:val="00744EF1"/>
    <w:rsid w:val="007462F5"/>
    <w:rsid w:val="007474B2"/>
    <w:rsid w:val="007535B6"/>
    <w:rsid w:val="00754102"/>
    <w:rsid w:val="00754EBC"/>
    <w:rsid w:val="00755158"/>
    <w:rsid w:val="0075599E"/>
    <w:rsid w:val="00756312"/>
    <w:rsid w:val="00756BA5"/>
    <w:rsid w:val="00757CF6"/>
    <w:rsid w:val="0076223E"/>
    <w:rsid w:val="00763548"/>
    <w:rsid w:val="00765125"/>
    <w:rsid w:val="00770063"/>
    <w:rsid w:val="007724BD"/>
    <w:rsid w:val="00772A7F"/>
    <w:rsid w:val="00775F83"/>
    <w:rsid w:val="0078000F"/>
    <w:rsid w:val="007817C1"/>
    <w:rsid w:val="0078248D"/>
    <w:rsid w:val="007835D3"/>
    <w:rsid w:val="007838F0"/>
    <w:rsid w:val="00791D06"/>
    <w:rsid w:val="00791F93"/>
    <w:rsid w:val="00792972"/>
    <w:rsid w:val="007948A1"/>
    <w:rsid w:val="00796325"/>
    <w:rsid w:val="00797053"/>
    <w:rsid w:val="007A0C59"/>
    <w:rsid w:val="007A0D4C"/>
    <w:rsid w:val="007A2635"/>
    <w:rsid w:val="007A3BD7"/>
    <w:rsid w:val="007A45B8"/>
    <w:rsid w:val="007A567A"/>
    <w:rsid w:val="007B2E83"/>
    <w:rsid w:val="007B431F"/>
    <w:rsid w:val="007B4365"/>
    <w:rsid w:val="007B46E4"/>
    <w:rsid w:val="007B726D"/>
    <w:rsid w:val="007C010D"/>
    <w:rsid w:val="007C64D4"/>
    <w:rsid w:val="007D00AA"/>
    <w:rsid w:val="007D26FE"/>
    <w:rsid w:val="007D315F"/>
    <w:rsid w:val="007D4ACB"/>
    <w:rsid w:val="007D587D"/>
    <w:rsid w:val="007D5CDF"/>
    <w:rsid w:val="007D797B"/>
    <w:rsid w:val="007D7D63"/>
    <w:rsid w:val="007E36F7"/>
    <w:rsid w:val="007E66B9"/>
    <w:rsid w:val="007F0027"/>
    <w:rsid w:val="007F10D7"/>
    <w:rsid w:val="007F4326"/>
    <w:rsid w:val="007F6591"/>
    <w:rsid w:val="007F676C"/>
    <w:rsid w:val="00810100"/>
    <w:rsid w:val="008154D0"/>
    <w:rsid w:val="00815A42"/>
    <w:rsid w:val="0081734E"/>
    <w:rsid w:val="0081747C"/>
    <w:rsid w:val="00817E3B"/>
    <w:rsid w:val="00823D79"/>
    <w:rsid w:val="00827CFC"/>
    <w:rsid w:val="00827E6C"/>
    <w:rsid w:val="00830144"/>
    <w:rsid w:val="00830B1D"/>
    <w:rsid w:val="008313E4"/>
    <w:rsid w:val="00832209"/>
    <w:rsid w:val="00832B4C"/>
    <w:rsid w:val="00833D45"/>
    <w:rsid w:val="00834429"/>
    <w:rsid w:val="00834A2F"/>
    <w:rsid w:val="00834AED"/>
    <w:rsid w:val="008359E2"/>
    <w:rsid w:val="00836CF9"/>
    <w:rsid w:val="00837B8D"/>
    <w:rsid w:val="00842181"/>
    <w:rsid w:val="00844DBE"/>
    <w:rsid w:val="008465BA"/>
    <w:rsid w:val="00854525"/>
    <w:rsid w:val="00856659"/>
    <w:rsid w:val="00861F8E"/>
    <w:rsid w:val="00862D4F"/>
    <w:rsid w:val="008636F7"/>
    <w:rsid w:val="00866119"/>
    <w:rsid w:val="0086635F"/>
    <w:rsid w:val="00866A6A"/>
    <w:rsid w:val="00867C61"/>
    <w:rsid w:val="008746BD"/>
    <w:rsid w:val="008766DE"/>
    <w:rsid w:val="008776AB"/>
    <w:rsid w:val="00880473"/>
    <w:rsid w:val="00881669"/>
    <w:rsid w:val="008863E9"/>
    <w:rsid w:val="00892689"/>
    <w:rsid w:val="00894154"/>
    <w:rsid w:val="008954C7"/>
    <w:rsid w:val="008A1B96"/>
    <w:rsid w:val="008A22E2"/>
    <w:rsid w:val="008A38EE"/>
    <w:rsid w:val="008A4A1F"/>
    <w:rsid w:val="008A4C6A"/>
    <w:rsid w:val="008B0D6A"/>
    <w:rsid w:val="008B100A"/>
    <w:rsid w:val="008B177E"/>
    <w:rsid w:val="008B2D4C"/>
    <w:rsid w:val="008B67E1"/>
    <w:rsid w:val="008B6EA7"/>
    <w:rsid w:val="008B73FC"/>
    <w:rsid w:val="008C22FB"/>
    <w:rsid w:val="008C4252"/>
    <w:rsid w:val="008C4459"/>
    <w:rsid w:val="008C7950"/>
    <w:rsid w:val="008D2F98"/>
    <w:rsid w:val="008E06A2"/>
    <w:rsid w:val="008E0747"/>
    <w:rsid w:val="008E30DA"/>
    <w:rsid w:val="008E3BCA"/>
    <w:rsid w:val="008E407E"/>
    <w:rsid w:val="008E48A6"/>
    <w:rsid w:val="008F033B"/>
    <w:rsid w:val="008F0705"/>
    <w:rsid w:val="008F12EB"/>
    <w:rsid w:val="008F1BC3"/>
    <w:rsid w:val="008F2C68"/>
    <w:rsid w:val="008F32B7"/>
    <w:rsid w:val="008F3DF2"/>
    <w:rsid w:val="008F674D"/>
    <w:rsid w:val="008F6E78"/>
    <w:rsid w:val="00900D05"/>
    <w:rsid w:val="00900EDA"/>
    <w:rsid w:val="00902C16"/>
    <w:rsid w:val="00903625"/>
    <w:rsid w:val="00904E3B"/>
    <w:rsid w:val="00906D8B"/>
    <w:rsid w:val="00907A49"/>
    <w:rsid w:val="0091323D"/>
    <w:rsid w:val="00913A37"/>
    <w:rsid w:val="00916E8B"/>
    <w:rsid w:val="00917EF0"/>
    <w:rsid w:val="009215C9"/>
    <w:rsid w:val="00922ABD"/>
    <w:rsid w:val="00922E02"/>
    <w:rsid w:val="00923222"/>
    <w:rsid w:val="00923DBE"/>
    <w:rsid w:val="00924279"/>
    <w:rsid w:val="00924A4C"/>
    <w:rsid w:val="00925449"/>
    <w:rsid w:val="00930172"/>
    <w:rsid w:val="00931049"/>
    <w:rsid w:val="00933BE7"/>
    <w:rsid w:val="0093732C"/>
    <w:rsid w:val="00937420"/>
    <w:rsid w:val="00937547"/>
    <w:rsid w:val="00942CC8"/>
    <w:rsid w:val="00946145"/>
    <w:rsid w:val="00951421"/>
    <w:rsid w:val="009539DA"/>
    <w:rsid w:val="00955AE3"/>
    <w:rsid w:val="00956EAB"/>
    <w:rsid w:val="00965DE9"/>
    <w:rsid w:val="009676D4"/>
    <w:rsid w:val="00970294"/>
    <w:rsid w:val="00971019"/>
    <w:rsid w:val="00971076"/>
    <w:rsid w:val="009723DF"/>
    <w:rsid w:val="0098007B"/>
    <w:rsid w:val="00981320"/>
    <w:rsid w:val="0098160F"/>
    <w:rsid w:val="00982576"/>
    <w:rsid w:val="0098313E"/>
    <w:rsid w:val="0098440F"/>
    <w:rsid w:val="00984724"/>
    <w:rsid w:val="00984DD7"/>
    <w:rsid w:val="00984E92"/>
    <w:rsid w:val="00985D8B"/>
    <w:rsid w:val="00994282"/>
    <w:rsid w:val="00994A3C"/>
    <w:rsid w:val="00994CF1"/>
    <w:rsid w:val="009A15B6"/>
    <w:rsid w:val="009A269A"/>
    <w:rsid w:val="009A634C"/>
    <w:rsid w:val="009A6E5F"/>
    <w:rsid w:val="009B21BE"/>
    <w:rsid w:val="009B3E6E"/>
    <w:rsid w:val="009B4D2C"/>
    <w:rsid w:val="009B5453"/>
    <w:rsid w:val="009B6719"/>
    <w:rsid w:val="009B6E8B"/>
    <w:rsid w:val="009B7122"/>
    <w:rsid w:val="009B7BE1"/>
    <w:rsid w:val="009C08C1"/>
    <w:rsid w:val="009C2272"/>
    <w:rsid w:val="009C22BD"/>
    <w:rsid w:val="009C2941"/>
    <w:rsid w:val="009C601F"/>
    <w:rsid w:val="009C7E33"/>
    <w:rsid w:val="009D1D06"/>
    <w:rsid w:val="009D1F30"/>
    <w:rsid w:val="009D4B0B"/>
    <w:rsid w:val="009D4FE6"/>
    <w:rsid w:val="009E0EB9"/>
    <w:rsid w:val="009E11FC"/>
    <w:rsid w:val="009E2095"/>
    <w:rsid w:val="009E27C1"/>
    <w:rsid w:val="009E3FF0"/>
    <w:rsid w:val="009E5C9F"/>
    <w:rsid w:val="009E62B6"/>
    <w:rsid w:val="009E773D"/>
    <w:rsid w:val="009F4FEA"/>
    <w:rsid w:val="009F5DA7"/>
    <w:rsid w:val="00A02A00"/>
    <w:rsid w:val="00A03201"/>
    <w:rsid w:val="00A03774"/>
    <w:rsid w:val="00A03864"/>
    <w:rsid w:val="00A03B9B"/>
    <w:rsid w:val="00A053A4"/>
    <w:rsid w:val="00A07542"/>
    <w:rsid w:val="00A10AE4"/>
    <w:rsid w:val="00A120A6"/>
    <w:rsid w:val="00A13809"/>
    <w:rsid w:val="00A146BC"/>
    <w:rsid w:val="00A15370"/>
    <w:rsid w:val="00A16CC6"/>
    <w:rsid w:val="00A17094"/>
    <w:rsid w:val="00A1752F"/>
    <w:rsid w:val="00A17846"/>
    <w:rsid w:val="00A210F5"/>
    <w:rsid w:val="00A26D0C"/>
    <w:rsid w:val="00A26F61"/>
    <w:rsid w:val="00A279E6"/>
    <w:rsid w:val="00A27F42"/>
    <w:rsid w:val="00A320F4"/>
    <w:rsid w:val="00A349A2"/>
    <w:rsid w:val="00A34B30"/>
    <w:rsid w:val="00A36DCC"/>
    <w:rsid w:val="00A4270E"/>
    <w:rsid w:val="00A45408"/>
    <w:rsid w:val="00A46E01"/>
    <w:rsid w:val="00A50FCB"/>
    <w:rsid w:val="00A535DB"/>
    <w:rsid w:val="00A53704"/>
    <w:rsid w:val="00A53C90"/>
    <w:rsid w:val="00A604B5"/>
    <w:rsid w:val="00A66C70"/>
    <w:rsid w:val="00A6728A"/>
    <w:rsid w:val="00A72DA9"/>
    <w:rsid w:val="00A73EC5"/>
    <w:rsid w:val="00A745DC"/>
    <w:rsid w:val="00A746CD"/>
    <w:rsid w:val="00A753D9"/>
    <w:rsid w:val="00A81E21"/>
    <w:rsid w:val="00A833BB"/>
    <w:rsid w:val="00A844AD"/>
    <w:rsid w:val="00A84902"/>
    <w:rsid w:val="00A90899"/>
    <w:rsid w:val="00A9202D"/>
    <w:rsid w:val="00A929A6"/>
    <w:rsid w:val="00A92D40"/>
    <w:rsid w:val="00A93BE3"/>
    <w:rsid w:val="00A94954"/>
    <w:rsid w:val="00A95206"/>
    <w:rsid w:val="00A957C9"/>
    <w:rsid w:val="00A95938"/>
    <w:rsid w:val="00A96642"/>
    <w:rsid w:val="00A978D2"/>
    <w:rsid w:val="00AA1448"/>
    <w:rsid w:val="00AA2972"/>
    <w:rsid w:val="00AA6F10"/>
    <w:rsid w:val="00AA7965"/>
    <w:rsid w:val="00AB353A"/>
    <w:rsid w:val="00AC675E"/>
    <w:rsid w:val="00AC68C6"/>
    <w:rsid w:val="00AD32B5"/>
    <w:rsid w:val="00AE1904"/>
    <w:rsid w:val="00AE1930"/>
    <w:rsid w:val="00AE1A23"/>
    <w:rsid w:val="00AE20BC"/>
    <w:rsid w:val="00AE255F"/>
    <w:rsid w:val="00AE44A8"/>
    <w:rsid w:val="00AF1987"/>
    <w:rsid w:val="00AF4EFE"/>
    <w:rsid w:val="00AF5387"/>
    <w:rsid w:val="00AF6C38"/>
    <w:rsid w:val="00B00D4D"/>
    <w:rsid w:val="00B0215C"/>
    <w:rsid w:val="00B06FE6"/>
    <w:rsid w:val="00B10AD8"/>
    <w:rsid w:val="00B118A8"/>
    <w:rsid w:val="00B14078"/>
    <w:rsid w:val="00B1518C"/>
    <w:rsid w:val="00B1530E"/>
    <w:rsid w:val="00B15FFB"/>
    <w:rsid w:val="00B203EE"/>
    <w:rsid w:val="00B23FF7"/>
    <w:rsid w:val="00B300B0"/>
    <w:rsid w:val="00B311FD"/>
    <w:rsid w:val="00B319F9"/>
    <w:rsid w:val="00B31B10"/>
    <w:rsid w:val="00B3477A"/>
    <w:rsid w:val="00B37FEF"/>
    <w:rsid w:val="00B41370"/>
    <w:rsid w:val="00B4526D"/>
    <w:rsid w:val="00B4588B"/>
    <w:rsid w:val="00B46000"/>
    <w:rsid w:val="00B47921"/>
    <w:rsid w:val="00B510CB"/>
    <w:rsid w:val="00B52F32"/>
    <w:rsid w:val="00B53426"/>
    <w:rsid w:val="00B537CC"/>
    <w:rsid w:val="00B54014"/>
    <w:rsid w:val="00B56793"/>
    <w:rsid w:val="00B568E9"/>
    <w:rsid w:val="00B573CD"/>
    <w:rsid w:val="00B57626"/>
    <w:rsid w:val="00B5795E"/>
    <w:rsid w:val="00B703FE"/>
    <w:rsid w:val="00B706AD"/>
    <w:rsid w:val="00B71496"/>
    <w:rsid w:val="00B72E8F"/>
    <w:rsid w:val="00B76C56"/>
    <w:rsid w:val="00B927F3"/>
    <w:rsid w:val="00B92EC0"/>
    <w:rsid w:val="00B93C63"/>
    <w:rsid w:val="00B956F5"/>
    <w:rsid w:val="00B967DE"/>
    <w:rsid w:val="00BA1B3F"/>
    <w:rsid w:val="00BA45B0"/>
    <w:rsid w:val="00BA53D6"/>
    <w:rsid w:val="00BA5F50"/>
    <w:rsid w:val="00BA6844"/>
    <w:rsid w:val="00BA75D9"/>
    <w:rsid w:val="00BB0302"/>
    <w:rsid w:val="00BB1D52"/>
    <w:rsid w:val="00BB307D"/>
    <w:rsid w:val="00BB3303"/>
    <w:rsid w:val="00BB4998"/>
    <w:rsid w:val="00BB5C90"/>
    <w:rsid w:val="00BB6B1C"/>
    <w:rsid w:val="00BB73D4"/>
    <w:rsid w:val="00BC2185"/>
    <w:rsid w:val="00BC2AAD"/>
    <w:rsid w:val="00BC2D60"/>
    <w:rsid w:val="00BC30FF"/>
    <w:rsid w:val="00BC43D1"/>
    <w:rsid w:val="00BC45BF"/>
    <w:rsid w:val="00BC4F66"/>
    <w:rsid w:val="00BC6665"/>
    <w:rsid w:val="00BC779E"/>
    <w:rsid w:val="00BD1935"/>
    <w:rsid w:val="00BD326A"/>
    <w:rsid w:val="00BD4316"/>
    <w:rsid w:val="00BE1F37"/>
    <w:rsid w:val="00BE39C0"/>
    <w:rsid w:val="00BE4DA3"/>
    <w:rsid w:val="00BE5356"/>
    <w:rsid w:val="00BE6D31"/>
    <w:rsid w:val="00BF108F"/>
    <w:rsid w:val="00BF23E8"/>
    <w:rsid w:val="00BF2706"/>
    <w:rsid w:val="00BF2D38"/>
    <w:rsid w:val="00BF6605"/>
    <w:rsid w:val="00BF683C"/>
    <w:rsid w:val="00C03CA3"/>
    <w:rsid w:val="00C03F27"/>
    <w:rsid w:val="00C075DC"/>
    <w:rsid w:val="00C10049"/>
    <w:rsid w:val="00C104D6"/>
    <w:rsid w:val="00C109E7"/>
    <w:rsid w:val="00C11A9D"/>
    <w:rsid w:val="00C134D0"/>
    <w:rsid w:val="00C139D2"/>
    <w:rsid w:val="00C14191"/>
    <w:rsid w:val="00C158C8"/>
    <w:rsid w:val="00C16E38"/>
    <w:rsid w:val="00C17294"/>
    <w:rsid w:val="00C17307"/>
    <w:rsid w:val="00C17D58"/>
    <w:rsid w:val="00C201F9"/>
    <w:rsid w:val="00C22C2A"/>
    <w:rsid w:val="00C23D8A"/>
    <w:rsid w:val="00C24E0D"/>
    <w:rsid w:val="00C255FC"/>
    <w:rsid w:val="00C325AF"/>
    <w:rsid w:val="00C32C3D"/>
    <w:rsid w:val="00C3666E"/>
    <w:rsid w:val="00C40482"/>
    <w:rsid w:val="00C40AEC"/>
    <w:rsid w:val="00C40B0D"/>
    <w:rsid w:val="00C40F9F"/>
    <w:rsid w:val="00C41001"/>
    <w:rsid w:val="00C412E6"/>
    <w:rsid w:val="00C41C66"/>
    <w:rsid w:val="00C443D2"/>
    <w:rsid w:val="00C47873"/>
    <w:rsid w:val="00C50F52"/>
    <w:rsid w:val="00C54199"/>
    <w:rsid w:val="00C55FA6"/>
    <w:rsid w:val="00C57BBF"/>
    <w:rsid w:val="00C63714"/>
    <w:rsid w:val="00C64D7E"/>
    <w:rsid w:val="00C660CF"/>
    <w:rsid w:val="00C7407B"/>
    <w:rsid w:val="00C75E80"/>
    <w:rsid w:val="00C76741"/>
    <w:rsid w:val="00C779EA"/>
    <w:rsid w:val="00C82841"/>
    <w:rsid w:val="00C82AAC"/>
    <w:rsid w:val="00C834DD"/>
    <w:rsid w:val="00C8553A"/>
    <w:rsid w:val="00C85FC2"/>
    <w:rsid w:val="00C86D31"/>
    <w:rsid w:val="00C87F4C"/>
    <w:rsid w:val="00C87FC1"/>
    <w:rsid w:val="00C944F1"/>
    <w:rsid w:val="00C94A06"/>
    <w:rsid w:val="00C94A87"/>
    <w:rsid w:val="00C96152"/>
    <w:rsid w:val="00CA0781"/>
    <w:rsid w:val="00CA1A9E"/>
    <w:rsid w:val="00CA1F4B"/>
    <w:rsid w:val="00CA20BB"/>
    <w:rsid w:val="00CA3FC9"/>
    <w:rsid w:val="00CA4CDE"/>
    <w:rsid w:val="00CA579A"/>
    <w:rsid w:val="00CA6C0E"/>
    <w:rsid w:val="00CA72E4"/>
    <w:rsid w:val="00CB1300"/>
    <w:rsid w:val="00CB15AE"/>
    <w:rsid w:val="00CB3577"/>
    <w:rsid w:val="00CB53A3"/>
    <w:rsid w:val="00CB704A"/>
    <w:rsid w:val="00CB77A2"/>
    <w:rsid w:val="00CC01D5"/>
    <w:rsid w:val="00CC0A29"/>
    <w:rsid w:val="00CC5CC8"/>
    <w:rsid w:val="00CC7C68"/>
    <w:rsid w:val="00CD0359"/>
    <w:rsid w:val="00CD0C21"/>
    <w:rsid w:val="00CD2212"/>
    <w:rsid w:val="00CD3636"/>
    <w:rsid w:val="00CD575C"/>
    <w:rsid w:val="00CE0173"/>
    <w:rsid w:val="00CE1098"/>
    <w:rsid w:val="00CE2D32"/>
    <w:rsid w:val="00CE30ED"/>
    <w:rsid w:val="00CE356B"/>
    <w:rsid w:val="00CE3F0B"/>
    <w:rsid w:val="00CE5215"/>
    <w:rsid w:val="00CF2959"/>
    <w:rsid w:val="00CF2AA9"/>
    <w:rsid w:val="00CF4409"/>
    <w:rsid w:val="00CF4CEB"/>
    <w:rsid w:val="00CF53D0"/>
    <w:rsid w:val="00CF5625"/>
    <w:rsid w:val="00CF5EF2"/>
    <w:rsid w:val="00CF62A7"/>
    <w:rsid w:val="00CF7BF9"/>
    <w:rsid w:val="00D00E87"/>
    <w:rsid w:val="00D03545"/>
    <w:rsid w:val="00D03FFF"/>
    <w:rsid w:val="00D10C1B"/>
    <w:rsid w:val="00D112F4"/>
    <w:rsid w:val="00D157A5"/>
    <w:rsid w:val="00D17CDC"/>
    <w:rsid w:val="00D316AE"/>
    <w:rsid w:val="00D32645"/>
    <w:rsid w:val="00D32B87"/>
    <w:rsid w:val="00D33410"/>
    <w:rsid w:val="00D35286"/>
    <w:rsid w:val="00D3625F"/>
    <w:rsid w:val="00D3771E"/>
    <w:rsid w:val="00D415E7"/>
    <w:rsid w:val="00D421CA"/>
    <w:rsid w:val="00D42F6C"/>
    <w:rsid w:val="00D46B26"/>
    <w:rsid w:val="00D47F00"/>
    <w:rsid w:val="00D50115"/>
    <w:rsid w:val="00D50CAD"/>
    <w:rsid w:val="00D51F54"/>
    <w:rsid w:val="00D52AD2"/>
    <w:rsid w:val="00D53802"/>
    <w:rsid w:val="00D53F61"/>
    <w:rsid w:val="00D621D5"/>
    <w:rsid w:val="00D66ABA"/>
    <w:rsid w:val="00D73F0F"/>
    <w:rsid w:val="00D74598"/>
    <w:rsid w:val="00D74AD0"/>
    <w:rsid w:val="00D757A7"/>
    <w:rsid w:val="00D76112"/>
    <w:rsid w:val="00D81472"/>
    <w:rsid w:val="00D82475"/>
    <w:rsid w:val="00D8370C"/>
    <w:rsid w:val="00D841FB"/>
    <w:rsid w:val="00D84421"/>
    <w:rsid w:val="00D853A9"/>
    <w:rsid w:val="00D86F5D"/>
    <w:rsid w:val="00D8719B"/>
    <w:rsid w:val="00D8750E"/>
    <w:rsid w:val="00D9090B"/>
    <w:rsid w:val="00D914C2"/>
    <w:rsid w:val="00D91657"/>
    <w:rsid w:val="00D92AB6"/>
    <w:rsid w:val="00D92DCA"/>
    <w:rsid w:val="00D93E59"/>
    <w:rsid w:val="00D93F69"/>
    <w:rsid w:val="00D93F7A"/>
    <w:rsid w:val="00D95E4A"/>
    <w:rsid w:val="00D977E4"/>
    <w:rsid w:val="00DA2C17"/>
    <w:rsid w:val="00DA5AC9"/>
    <w:rsid w:val="00DA6033"/>
    <w:rsid w:val="00DA71D9"/>
    <w:rsid w:val="00DA71DC"/>
    <w:rsid w:val="00DA7309"/>
    <w:rsid w:val="00DA7C5B"/>
    <w:rsid w:val="00DB35D4"/>
    <w:rsid w:val="00DB39B4"/>
    <w:rsid w:val="00DB4751"/>
    <w:rsid w:val="00DB6C49"/>
    <w:rsid w:val="00DB7C20"/>
    <w:rsid w:val="00DC0E02"/>
    <w:rsid w:val="00DC192A"/>
    <w:rsid w:val="00DC2615"/>
    <w:rsid w:val="00DC5913"/>
    <w:rsid w:val="00DC6410"/>
    <w:rsid w:val="00DD31BF"/>
    <w:rsid w:val="00DE0EFD"/>
    <w:rsid w:val="00DE4DE7"/>
    <w:rsid w:val="00DE7110"/>
    <w:rsid w:val="00DF0E9B"/>
    <w:rsid w:val="00DF5A64"/>
    <w:rsid w:val="00DF5CAA"/>
    <w:rsid w:val="00E003E3"/>
    <w:rsid w:val="00E027F8"/>
    <w:rsid w:val="00E034CA"/>
    <w:rsid w:val="00E04670"/>
    <w:rsid w:val="00E058CC"/>
    <w:rsid w:val="00E1090A"/>
    <w:rsid w:val="00E11B02"/>
    <w:rsid w:val="00E13B3D"/>
    <w:rsid w:val="00E14267"/>
    <w:rsid w:val="00E15F39"/>
    <w:rsid w:val="00E161F9"/>
    <w:rsid w:val="00E2121F"/>
    <w:rsid w:val="00E21315"/>
    <w:rsid w:val="00E22868"/>
    <w:rsid w:val="00E22DB1"/>
    <w:rsid w:val="00E2477F"/>
    <w:rsid w:val="00E25406"/>
    <w:rsid w:val="00E27C1D"/>
    <w:rsid w:val="00E27F71"/>
    <w:rsid w:val="00E302D1"/>
    <w:rsid w:val="00E31CE0"/>
    <w:rsid w:val="00E33B36"/>
    <w:rsid w:val="00E33BDB"/>
    <w:rsid w:val="00E34F50"/>
    <w:rsid w:val="00E36445"/>
    <w:rsid w:val="00E36D8D"/>
    <w:rsid w:val="00E4490B"/>
    <w:rsid w:val="00E46385"/>
    <w:rsid w:val="00E47349"/>
    <w:rsid w:val="00E4752D"/>
    <w:rsid w:val="00E54849"/>
    <w:rsid w:val="00E56E3A"/>
    <w:rsid w:val="00E621D6"/>
    <w:rsid w:val="00E64A03"/>
    <w:rsid w:val="00E65A51"/>
    <w:rsid w:val="00E66511"/>
    <w:rsid w:val="00E66D0B"/>
    <w:rsid w:val="00E71F6B"/>
    <w:rsid w:val="00E73FE6"/>
    <w:rsid w:val="00E7504E"/>
    <w:rsid w:val="00E7790F"/>
    <w:rsid w:val="00E77D6B"/>
    <w:rsid w:val="00E80BBB"/>
    <w:rsid w:val="00E80C1F"/>
    <w:rsid w:val="00E81947"/>
    <w:rsid w:val="00E848B0"/>
    <w:rsid w:val="00E85468"/>
    <w:rsid w:val="00E86026"/>
    <w:rsid w:val="00E875A8"/>
    <w:rsid w:val="00E877E5"/>
    <w:rsid w:val="00E90CFC"/>
    <w:rsid w:val="00E92E52"/>
    <w:rsid w:val="00E96FF5"/>
    <w:rsid w:val="00EA3131"/>
    <w:rsid w:val="00EA496C"/>
    <w:rsid w:val="00EB0F2E"/>
    <w:rsid w:val="00EB151A"/>
    <w:rsid w:val="00EB383B"/>
    <w:rsid w:val="00EB3940"/>
    <w:rsid w:val="00EB4F12"/>
    <w:rsid w:val="00EB6097"/>
    <w:rsid w:val="00EC3307"/>
    <w:rsid w:val="00EC4EB6"/>
    <w:rsid w:val="00EC6CC0"/>
    <w:rsid w:val="00ED0E08"/>
    <w:rsid w:val="00ED1DC8"/>
    <w:rsid w:val="00ED272B"/>
    <w:rsid w:val="00ED34C7"/>
    <w:rsid w:val="00ED7A0F"/>
    <w:rsid w:val="00EE1990"/>
    <w:rsid w:val="00EE2C2D"/>
    <w:rsid w:val="00EE7533"/>
    <w:rsid w:val="00EF08F8"/>
    <w:rsid w:val="00EF1F8B"/>
    <w:rsid w:val="00EF36D2"/>
    <w:rsid w:val="00EF68C6"/>
    <w:rsid w:val="00F03D71"/>
    <w:rsid w:val="00F059B1"/>
    <w:rsid w:val="00F06BAB"/>
    <w:rsid w:val="00F06C03"/>
    <w:rsid w:val="00F147C4"/>
    <w:rsid w:val="00F17322"/>
    <w:rsid w:val="00F1764F"/>
    <w:rsid w:val="00F20BF3"/>
    <w:rsid w:val="00F22DAE"/>
    <w:rsid w:val="00F230DA"/>
    <w:rsid w:val="00F25371"/>
    <w:rsid w:val="00F25AF8"/>
    <w:rsid w:val="00F31B6C"/>
    <w:rsid w:val="00F32F2A"/>
    <w:rsid w:val="00F35CAA"/>
    <w:rsid w:val="00F40F7C"/>
    <w:rsid w:val="00F415DE"/>
    <w:rsid w:val="00F41B22"/>
    <w:rsid w:val="00F44955"/>
    <w:rsid w:val="00F45FDE"/>
    <w:rsid w:val="00F468CB"/>
    <w:rsid w:val="00F50987"/>
    <w:rsid w:val="00F51477"/>
    <w:rsid w:val="00F525A2"/>
    <w:rsid w:val="00F52D72"/>
    <w:rsid w:val="00F52F7C"/>
    <w:rsid w:val="00F53609"/>
    <w:rsid w:val="00F53AD7"/>
    <w:rsid w:val="00F542A3"/>
    <w:rsid w:val="00F570F7"/>
    <w:rsid w:val="00F603D4"/>
    <w:rsid w:val="00F60A55"/>
    <w:rsid w:val="00F64C76"/>
    <w:rsid w:val="00F64F25"/>
    <w:rsid w:val="00F662B9"/>
    <w:rsid w:val="00F664DA"/>
    <w:rsid w:val="00F66B27"/>
    <w:rsid w:val="00F672D1"/>
    <w:rsid w:val="00F70506"/>
    <w:rsid w:val="00F70E5C"/>
    <w:rsid w:val="00F7247F"/>
    <w:rsid w:val="00F737A1"/>
    <w:rsid w:val="00F7552B"/>
    <w:rsid w:val="00F75601"/>
    <w:rsid w:val="00F77916"/>
    <w:rsid w:val="00F803AA"/>
    <w:rsid w:val="00F846FE"/>
    <w:rsid w:val="00F8574C"/>
    <w:rsid w:val="00F86042"/>
    <w:rsid w:val="00F86403"/>
    <w:rsid w:val="00F8713C"/>
    <w:rsid w:val="00F907B1"/>
    <w:rsid w:val="00F90C35"/>
    <w:rsid w:val="00F9128C"/>
    <w:rsid w:val="00F91655"/>
    <w:rsid w:val="00F924B5"/>
    <w:rsid w:val="00F94EDF"/>
    <w:rsid w:val="00F9519E"/>
    <w:rsid w:val="00F9756A"/>
    <w:rsid w:val="00F97628"/>
    <w:rsid w:val="00FA0B2E"/>
    <w:rsid w:val="00FA27ED"/>
    <w:rsid w:val="00FA4285"/>
    <w:rsid w:val="00FA6B7D"/>
    <w:rsid w:val="00FA6C07"/>
    <w:rsid w:val="00FB1525"/>
    <w:rsid w:val="00FB1627"/>
    <w:rsid w:val="00FB16F9"/>
    <w:rsid w:val="00FB28A9"/>
    <w:rsid w:val="00FB7587"/>
    <w:rsid w:val="00FB7792"/>
    <w:rsid w:val="00FC01FC"/>
    <w:rsid w:val="00FC059F"/>
    <w:rsid w:val="00FC3511"/>
    <w:rsid w:val="00FC4AA8"/>
    <w:rsid w:val="00FC7FD5"/>
    <w:rsid w:val="00FD70CA"/>
    <w:rsid w:val="00FE09E7"/>
    <w:rsid w:val="00FE1313"/>
    <w:rsid w:val="00FE1B73"/>
    <w:rsid w:val="00FE2B79"/>
    <w:rsid w:val="00FE4D09"/>
    <w:rsid w:val="00FE557E"/>
    <w:rsid w:val="00FE594C"/>
    <w:rsid w:val="00FE615E"/>
    <w:rsid w:val="00FE7175"/>
    <w:rsid w:val="00FF2863"/>
    <w:rsid w:val="00FF2BE9"/>
    <w:rsid w:val="00FF4326"/>
    <w:rsid w:val="1EF34D11"/>
    <w:rsid w:val="2BD40D1F"/>
    <w:rsid w:val="35EC6BF8"/>
    <w:rsid w:val="441F3DFD"/>
    <w:rsid w:val="466C66D2"/>
    <w:rsid w:val="48E311AD"/>
    <w:rsid w:val="4A963DC3"/>
    <w:rsid w:val="594B47F9"/>
    <w:rsid w:val="5FDE32AA"/>
    <w:rsid w:val="64E80B73"/>
    <w:rsid w:val="679F4640"/>
    <w:rsid w:val="68B14F6B"/>
    <w:rsid w:val="6F9C6230"/>
    <w:rsid w:val="7ABA3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3"/>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pBdr>
        <w:top w:val="single" w:color="auto" w:sz="18" w:space="1"/>
        <w:bottom w:val="single" w:color="auto" w:sz="18" w:space="1"/>
      </w:pBdr>
      <w:ind w:firstLine="600"/>
    </w:pPr>
    <w:rPr>
      <w:rFonts w:ascii="楷体_GB2312" w:eastAsia="楷体_GB2312"/>
      <w:sz w:val="32"/>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2">
    <w:name w:val="page number"/>
    <w:basedOn w:val="11"/>
    <w:qFormat/>
    <w:uiPriority w:val="0"/>
  </w:style>
  <w:style w:type="character" w:customStyle="1" w:styleId="13">
    <w:name w:val="批注框文本 Char"/>
    <w:basedOn w:val="11"/>
    <w:link w:val="5"/>
    <w:semiHidden/>
    <w:qFormat/>
    <w:uiPriority w:val="99"/>
    <w:rPr>
      <w:rFonts w:ascii="Times New Roman" w:hAnsi="Times New Roman" w:eastAsia="宋体" w:cs="Times New Roman"/>
      <w:sz w:val="18"/>
      <w:szCs w:val="18"/>
    </w:rPr>
  </w:style>
  <w:style w:type="character" w:customStyle="1" w:styleId="14">
    <w:name w:val="页眉 Char"/>
    <w:basedOn w:val="11"/>
    <w:link w:val="7"/>
    <w:semiHidden/>
    <w:qFormat/>
    <w:uiPriority w:val="99"/>
    <w:rPr>
      <w:rFonts w:ascii="Times New Roman" w:hAnsi="Times New Roman" w:eastAsia="宋体" w:cs="Times New Roman"/>
      <w:sz w:val="18"/>
      <w:szCs w:val="18"/>
    </w:rPr>
  </w:style>
  <w:style w:type="character" w:customStyle="1" w:styleId="15">
    <w:name w:val="页脚 Char"/>
    <w:basedOn w:val="11"/>
    <w:link w:val="6"/>
    <w:qFormat/>
    <w:uiPriority w:val="99"/>
    <w:rPr>
      <w:rFonts w:ascii="Times New Roman" w:hAnsi="Times New Roman" w:eastAsia="宋体" w:cs="Times New Roman"/>
      <w:sz w:val="18"/>
      <w:szCs w:val="18"/>
    </w:rPr>
  </w:style>
  <w:style w:type="paragraph" w:styleId="16">
    <w:name w:val="List Paragraph"/>
    <w:basedOn w:val="1"/>
    <w:qFormat/>
    <w:uiPriority w:val="34"/>
    <w:pPr>
      <w:ind w:firstLine="420" w:firstLineChars="200"/>
    </w:pPr>
  </w:style>
  <w:style w:type="paragraph" w:styleId="17">
    <w:name w:val="No Spacing"/>
    <w:qFormat/>
    <w:uiPriority w:val="0"/>
    <w:pPr>
      <w:widowControl w:val="0"/>
      <w:jc w:val="both"/>
    </w:pPr>
    <w:rPr>
      <w:rFonts w:ascii="Calibri" w:hAnsi="Calibri" w:eastAsia="宋体" w:cs="黑体"/>
      <w:sz w:val="21"/>
      <w:lang w:val="en-US" w:eastAsia="zh-CN" w:bidi="ar-SA"/>
    </w:rPr>
  </w:style>
  <w:style w:type="character" w:customStyle="1" w:styleId="18">
    <w:name w:val="标题 1 Char"/>
    <w:link w:val="2"/>
    <w:qFormat/>
    <w:uiPriority w:val="9"/>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FBF740-1F19-446E-9EC2-837CA403A3E3}">
  <ds:schemaRefs/>
</ds:datastoreItem>
</file>

<file path=docProps/app.xml><?xml version="1.0" encoding="utf-8"?>
<Properties xmlns="http://schemas.openxmlformats.org/officeDocument/2006/extended-properties" xmlns:vt="http://schemas.openxmlformats.org/officeDocument/2006/docPropsVTypes">
  <Template>Normal</Template>
  <Pages>46</Pages>
  <Words>3034</Words>
  <Characters>17297</Characters>
  <Lines>144</Lines>
  <Paragraphs>40</Paragraphs>
  <TotalTime>1</TotalTime>
  <ScaleCrop>false</ScaleCrop>
  <LinksUpToDate>false</LinksUpToDate>
  <CharactersWithSpaces>20291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2019-12-01T08:17:00Z</dcterms:created>
  <dc:creator>ADMIN</dc:creator>
  <cp:lastModifiedBy>星星</cp:lastModifiedBy>
  <dcterms:modified xsi:type="dcterms:W3CDTF">2021-03-08T01:49:22Z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